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pageBreakBefore w:val="0"/>
        <w:kinsoku/>
        <w:wordWrap/>
        <w:overflowPunct/>
        <w:topLinePunct w:val="0"/>
        <w:autoSpaceDE/>
        <w:autoSpaceDN/>
        <w:bidi w:val="0"/>
        <w:adjustRightInd/>
        <w:snapToGrid/>
        <w:spacing w:before="0" w:line="560" w:lineRule="exact"/>
        <w:ind w:right="0" w:rightChars="0" w:firstLine="600"/>
        <w:jc w:val="center"/>
        <w:textAlignment w:val="auto"/>
        <w:outlineLvl w:val="9"/>
        <w:rPr>
          <w:rFonts w:hint="default" w:ascii="Times New Roman" w:hAnsi="Times New Roman" w:eastAsia="仿宋_GB2312" w:cs="Times New Roman"/>
          <w:color w:val="auto"/>
          <w:sz w:val="32"/>
          <w:szCs w:val="32"/>
          <w:lang w:val="zh-CN"/>
        </w:rPr>
      </w:pPr>
    </w:p>
    <w:p>
      <w:pPr>
        <w:pStyle w:val="16"/>
        <w:pageBreakBefore w:val="0"/>
        <w:kinsoku/>
        <w:wordWrap/>
        <w:overflowPunct/>
        <w:topLinePunct w:val="0"/>
        <w:autoSpaceDE/>
        <w:autoSpaceDN/>
        <w:bidi w:val="0"/>
        <w:adjustRightInd/>
        <w:snapToGrid/>
        <w:spacing w:before="0" w:line="720" w:lineRule="auto"/>
        <w:ind w:firstLine="600"/>
        <w:jc w:val="center"/>
        <w:textAlignment w:val="auto"/>
        <w:outlineLvl w:val="9"/>
        <w:rPr>
          <w:rFonts w:hint="default" w:ascii="Times New Roman" w:hAnsi="Times New Roman" w:eastAsia="方正小标宋简体"/>
          <w:color w:val="auto"/>
          <w:sz w:val="52"/>
          <w:szCs w:val="52"/>
          <w:lang w:val="zh-CN"/>
        </w:rPr>
      </w:pPr>
    </w:p>
    <w:p>
      <w:pPr>
        <w:pStyle w:val="16"/>
        <w:pageBreakBefore w:val="0"/>
        <w:kinsoku/>
        <w:wordWrap/>
        <w:overflowPunct/>
        <w:topLinePunct w:val="0"/>
        <w:autoSpaceDE/>
        <w:autoSpaceDN/>
        <w:bidi w:val="0"/>
        <w:adjustRightInd/>
        <w:snapToGrid/>
        <w:spacing w:before="0" w:line="720" w:lineRule="auto"/>
        <w:ind w:firstLine="600"/>
        <w:jc w:val="center"/>
        <w:textAlignment w:val="auto"/>
        <w:outlineLvl w:val="9"/>
        <w:rPr>
          <w:rFonts w:hint="default" w:ascii="Times New Roman" w:hAnsi="Times New Roman" w:eastAsia="方正公文小标宋" w:cs="Times New Roman"/>
          <w:color w:val="auto"/>
          <w:sz w:val="52"/>
          <w:szCs w:val="52"/>
          <w:lang w:val="zh-CN"/>
        </w:rPr>
      </w:pPr>
      <w:r>
        <w:rPr>
          <w:rFonts w:hint="default" w:ascii="Times New Roman" w:hAnsi="Times New Roman" w:eastAsia="方正公文小标宋" w:cs="Times New Roman"/>
          <w:color w:val="auto"/>
          <w:sz w:val="52"/>
          <w:szCs w:val="52"/>
          <w:lang w:val="zh-CN"/>
        </w:rPr>
        <w:t>广西建设职业技术学院</w:t>
      </w:r>
    </w:p>
    <w:p>
      <w:pPr>
        <w:pStyle w:val="16"/>
        <w:pageBreakBefore w:val="0"/>
        <w:kinsoku/>
        <w:wordWrap/>
        <w:overflowPunct/>
        <w:topLinePunct w:val="0"/>
        <w:autoSpaceDE/>
        <w:autoSpaceDN/>
        <w:bidi w:val="0"/>
        <w:adjustRightInd/>
        <w:snapToGrid/>
        <w:spacing w:before="0" w:line="720" w:lineRule="auto"/>
        <w:ind w:firstLine="600"/>
        <w:jc w:val="center"/>
        <w:textAlignment w:val="auto"/>
        <w:outlineLvl w:val="9"/>
        <w:rPr>
          <w:rFonts w:hint="default" w:ascii="Times New Roman" w:hAnsi="Times New Roman" w:eastAsia="方正公文小标宋" w:cs="Times New Roman"/>
          <w:color w:val="auto"/>
          <w:sz w:val="52"/>
          <w:szCs w:val="52"/>
          <w:lang w:val="zh-CN"/>
        </w:rPr>
      </w:pPr>
      <w:r>
        <w:rPr>
          <w:rFonts w:hint="default" w:ascii="Times New Roman" w:hAnsi="Times New Roman" w:eastAsia="方正公文小标宋" w:cs="Times New Roman"/>
          <w:color w:val="auto"/>
          <w:sz w:val="52"/>
          <w:szCs w:val="52"/>
          <w:lang w:val="zh-CN"/>
        </w:rPr>
        <w:t>2022年职业教育质量年度报告</w:t>
      </w:r>
    </w:p>
    <w:p>
      <w:pPr>
        <w:pageBreakBefore w:val="0"/>
        <w:kinsoku/>
        <w:wordWrap/>
        <w:overflowPunct/>
        <w:topLinePunct w:val="0"/>
        <w:autoSpaceDE/>
        <w:autoSpaceDN/>
        <w:bidi w:val="0"/>
        <w:adjustRightInd/>
        <w:snapToGrid/>
        <w:spacing w:line="560" w:lineRule="exact"/>
        <w:ind w:right="0" w:rightChars="0" w:firstLine="600"/>
        <w:textAlignment w:val="auto"/>
        <w:rPr>
          <w:rFonts w:hint="default" w:ascii="Times New Roman" w:hAnsi="Times New Roman" w:eastAsia="仿宋_GB2312" w:cs="Times New Roman"/>
          <w:color w:val="auto"/>
          <w:sz w:val="32"/>
          <w:szCs w:val="32"/>
        </w:rPr>
      </w:pPr>
    </w:p>
    <w:p>
      <w:pPr>
        <w:pStyle w:val="2"/>
        <w:pageBreakBefore w:val="0"/>
        <w:kinsoku/>
        <w:wordWrap/>
        <w:overflowPunct/>
        <w:topLinePunct w:val="0"/>
        <w:bidi w:val="0"/>
        <w:spacing w:line="560" w:lineRule="exact"/>
        <w:ind w:right="0" w:rightChars="0"/>
        <w:textAlignment w:val="auto"/>
        <w:outlineLvl w:val="9"/>
        <w:rPr>
          <w:rFonts w:hint="default" w:ascii="Times New Roman" w:hAnsi="Times New Roman" w:eastAsia="仿宋_GB2312" w:cs="Times New Roman"/>
          <w:color w:val="auto"/>
          <w:sz w:val="32"/>
          <w:szCs w:val="32"/>
        </w:rPr>
      </w:pPr>
    </w:p>
    <w:p>
      <w:pPr>
        <w:pageBreakBefore w:val="0"/>
        <w:kinsoku/>
        <w:wordWrap/>
        <w:overflowPunct/>
        <w:topLinePunct w:val="0"/>
        <w:bidi w:val="0"/>
        <w:spacing w:line="560" w:lineRule="exact"/>
        <w:ind w:right="0" w:rightChars="0"/>
        <w:textAlignment w:val="auto"/>
        <w:rPr>
          <w:rFonts w:hint="default" w:ascii="Times New Roman" w:hAnsi="Times New Roman" w:eastAsia="仿宋_GB2312" w:cs="Times New Roman"/>
          <w:color w:val="auto"/>
          <w:sz w:val="32"/>
          <w:szCs w:val="32"/>
        </w:rPr>
      </w:pPr>
    </w:p>
    <w:p>
      <w:pPr>
        <w:pStyle w:val="2"/>
        <w:pageBreakBefore w:val="0"/>
        <w:kinsoku/>
        <w:wordWrap/>
        <w:overflowPunct/>
        <w:topLinePunct w:val="0"/>
        <w:bidi w:val="0"/>
        <w:spacing w:line="560" w:lineRule="exact"/>
        <w:ind w:right="0" w:rightChars="0"/>
        <w:textAlignment w:val="auto"/>
        <w:outlineLvl w:val="9"/>
        <w:rPr>
          <w:rFonts w:hint="default" w:ascii="Times New Roman" w:hAnsi="Times New Roman" w:eastAsia="仿宋_GB2312" w:cs="Times New Roman"/>
          <w:color w:val="auto"/>
          <w:sz w:val="32"/>
          <w:szCs w:val="32"/>
        </w:rPr>
      </w:pPr>
    </w:p>
    <w:p>
      <w:pPr>
        <w:pageBreakBefore w:val="0"/>
        <w:kinsoku/>
        <w:wordWrap/>
        <w:overflowPunct/>
        <w:topLinePunct w:val="0"/>
        <w:bidi w:val="0"/>
        <w:spacing w:line="560" w:lineRule="exact"/>
        <w:ind w:right="0" w:rightChars="0"/>
        <w:textAlignment w:val="auto"/>
        <w:rPr>
          <w:rFonts w:hint="default" w:ascii="Times New Roman" w:hAnsi="Times New Roman" w:eastAsia="仿宋_GB2312" w:cs="Times New Roman"/>
          <w:sz w:val="32"/>
          <w:szCs w:val="32"/>
        </w:rPr>
      </w:pPr>
    </w:p>
    <w:p>
      <w:pPr>
        <w:pageBreakBefore w:val="0"/>
        <w:kinsoku/>
        <w:wordWrap/>
        <w:overflowPunct/>
        <w:topLinePunct w:val="0"/>
        <w:bidi w:val="0"/>
        <w:spacing w:line="560" w:lineRule="exact"/>
        <w:ind w:right="0" w:rightChars="0" w:firstLine="600"/>
        <w:textAlignment w:val="auto"/>
        <w:rPr>
          <w:rFonts w:hint="default" w:ascii="Times New Roman" w:hAnsi="Times New Roman" w:eastAsia="仿宋_GB2312" w:cs="Times New Roman"/>
          <w:color w:val="auto"/>
          <w:sz w:val="32"/>
          <w:szCs w:val="32"/>
        </w:rPr>
      </w:pPr>
    </w:p>
    <w:p>
      <w:pPr>
        <w:pageBreakBefore w:val="0"/>
        <w:kinsoku/>
        <w:wordWrap/>
        <w:overflowPunct/>
        <w:topLinePunct w:val="0"/>
        <w:bidi w:val="0"/>
        <w:spacing w:line="560" w:lineRule="exact"/>
        <w:ind w:right="0" w:rightChars="0" w:firstLine="600"/>
        <w:textAlignment w:val="auto"/>
        <w:rPr>
          <w:rFonts w:hint="default" w:ascii="Times New Roman" w:hAnsi="Times New Roman" w:eastAsia="仿宋_GB2312" w:cs="Times New Roman"/>
          <w:color w:val="auto"/>
          <w:sz w:val="32"/>
          <w:szCs w:val="32"/>
        </w:rPr>
      </w:pPr>
    </w:p>
    <w:p>
      <w:pPr>
        <w:pageBreakBefore w:val="0"/>
        <w:kinsoku/>
        <w:wordWrap/>
        <w:overflowPunct/>
        <w:topLinePunct w:val="0"/>
        <w:bidi w:val="0"/>
        <w:spacing w:line="560" w:lineRule="exact"/>
        <w:ind w:right="0" w:rightChars="0" w:firstLine="600"/>
        <w:textAlignment w:val="auto"/>
        <w:rPr>
          <w:rFonts w:hint="default" w:ascii="Times New Roman" w:hAnsi="Times New Roman" w:eastAsia="仿宋_GB2312" w:cs="Times New Roman"/>
          <w:color w:val="auto"/>
          <w:sz w:val="32"/>
          <w:szCs w:val="32"/>
        </w:rPr>
      </w:pPr>
    </w:p>
    <w:p>
      <w:pPr>
        <w:pageBreakBefore w:val="0"/>
        <w:kinsoku/>
        <w:wordWrap/>
        <w:overflowPunct/>
        <w:topLinePunct w:val="0"/>
        <w:bidi w:val="0"/>
        <w:spacing w:line="560" w:lineRule="exact"/>
        <w:ind w:right="0" w:rightChars="0" w:firstLine="600"/>
        <w:textAlignment w:val="auto"/>
        <w:rPr>
          <w:rFonts w:hint="default" w:ascii="Times New Roman" w:hAnsi="Times New Roman" w:eastAsia="仿宋_GB2312" w:cs="Times New Roman"/>
          <w:color w:val="auto"/>
          <w:sz w:val="32"/>
          <w:szCs w:val="32"/>
        </w:rPr>
      </w:pPr>
    </w:p>
    <w:p>
      <w:pPr>
        <w:pageBreakBefore w:val="0"/>
        <w:kinsoku/>
        <w:wordWrap/>
        <w:overflowPunct/>
        <w:topLinePunct w:val="0"/>
        <w:bidi w:val="0"/>
        <w:spacing w:line="560" w:lineRule="exact"/>
        <w:ind w:right="0" w:rightChars="0" w:firstLine="1280" w:firstLineChars="400"/>
        <w:textAlignment w:val="auto"/>
        <w:rPr>
          <w:rFonts w:hint="default" w:ascii="Times New Roman" w:hAnsi="Times New Roman" w:eastAsia="仿宋_GB2312" w:cs="Times New Roman"/>
          <w:color w:val="auto"/>
          <w:sz w:val="32"/>
          <w:szCs w:val="32"/>
        </w:rPr>
      </w:pPr>
      <w:bookmarkStart w:id="0" w:name="_Toc156_WPSOffice_Level1"/>
    </w:p>
    <w:p>
      <w:pPr>
        <w:pageBreakBefore w:val="0"/>
        <w:kinsoku/>
        <w:wordWrap/>
        <w:overflowPunct/>
        <w:topLinePunct w:val="0"/>
        <w:bidi w:val="0"/>
        <w:spacing w:line="560" w:lineRule="exact"/>
        <w:ind w:firstLine="2080" w:firstLineChars="400"/>
        <w:textAlignment w:val="auto"/>
        <w:rPr>
          <w:rFonts w:hint="default" w:ascii="Times New Roman" w:hAnsi="Times New Roman" w:eastAsia="方正公文小标宋" w:cs="Times New Roman"/>
          <w:color w:val="auto"/>
          <w:sz w:val="52"/>
          <w:szCs w:val="52"/>
        </w:rPr>
      </w:pPr>
      <w:r>
        <w:rPr>
          <w:rFonts w:hint="default" w:ascii="Times New Roman" w:hAnsi="Times New Roman" w:eastAsia="方正公文小标宋" w:cs="Times New Roman"/>
          <w:color w:val="auto"/>
          <w:sz w:val="52"/>
          <w:szCs w:val="52"/>
        </w:rPr>
        <w:t>二〇</w:t>
      </w:r>
      <w:r>
        <w:rPr>
          <w:rFonts w:hint="default" w:ascii="Times New Roman" w:hAnsi="Times New Roman" w:eastAsia="方正公文小标宋" w:cs="Times New Roman"/>
          <w:color w:val="auto"/>
          <w:sz w:val="52"/>
          <w:szCs w:val="52"/>
          <w:lang w:val="en-US" w:eastAsia="zh-Hans"/>
        </w:rPr>
        <w:t>二</w:t>
      </w:r>
      <w:r>
        <w:rPr>
          <w:rFonts w:hint="default" w:ascii="Times New Roman" w:hAnsi="Times New Roman" w:eastAsia="方正公文小标宋" w:cs="Times New Roman"/>
          <w:color w:val="auto"/>
          <w:sz w:val="52"/>
          <w:szCs w:val="52"/>
          <w:lang w:val="en-US" w:eastAsia="zh-CN"/>
        </w:rPr>
        <w:t>一</w:t>
      </w:r>
      <w:r>
        <w:rPr>
          <w:rFonts w:hint="default" w:ascii="Times New Roman" w:hAnsi="Times New Roman" w:eastAsia="方正公文小标宋" w:cs="Times New Roman"/>
          <w:color w:val="auto"/>
          <w:sz w:val="52"/>
          <w:szCs w:val="52"/>
        </w:rPr>
        <w:t>年十</w:t>
      </w:r>
      <w:r>
        <w:rPr>
          <w:rFonts w:hint="default" w:ascii="Times New Roman" w:hAnsi="Times New Roman" w:eastAsia="方正公文小标宋" w:cs="Times New Roman"/>
          <w:color w:val="auto"/>
          <w:sz w:val="52"/>
          <w:szCs w:val="52"/>
          <w:lang w:eastAsia="zh-CN"/>
        </w:rPr>
        <w:t>二</w:t>
      </w:r>
      <w:r>
        <w:rPr>
          <w:rFonts w:hint="default" w:ascii="Times New Roman" w:hAnsi="Times New Roman" w:eastAsia="方正公文小标宋" w:cs="Times New Roman"/>
          <w:color w:val="auto"/>
          <w:sz w:val="52"/>
          <w:szCs w:val="52"/>
        </w:rPr>
        <w:t>月</w:t>
      </w:r>
      <w:bookmarkEnd w:id="0"/>
    </w:p>
    <w:p>
      <w:pPr>
        <w:widowControl/>
        <w:spacing w:after="156" w:line="560" w:lineRule="exact"/>
        <w:ind w:firstLine="720" w:firstLineChars="200"/>
        <w:jc w:val="left"/>
        <w:rPr>
          <w:rFonts w:ascii="Times New Roman" w:hAnsi="Times New Roman" w:eastAsia="方正小标宋简体" w:cs="Times New Roman"/>
          <w:kern w:val="0"/>
          <w:sz w:val="36"/>
          <w:szCs w:val="36"/>
        </w:rPr>
      </w:pPr>
    </w:p>
    <w:p>
      <w:pPr>
        <w:pageBreakBefore w:val="0"/>
        <w:kinsoku/>
        <w:wordWrap/>
        <w:overflowPunct/>
        <w:topLinePunct w:val="0"/>
        <w:bidi w:val="0"/>
        <w:spacing w:line="560" w:lineRule="exact"/>
        <w:ind w:right="0" w:rightChars="0"/>
        <w:textAlignment w:val="auto"/>
        <w:rPr>
          <w:rFonts w:hint="default" w:ascii="Times New Roman" w:hAnsi="Times New Roman" w:eastAsia="仿宋_GB2312" w:cs="Times New Roman"/>
          <w:sz w:val="32"/>
          <w:szCs w:val="32"/>
          <w:lang w:eastAsia="zh-CN"/>
        </w:rPr>
      </w:pPr>
    </w:p>
    <w:p>
      <w:pPr>
        <w:pStyle w:val="3"/>
        <w:pageBreakBefore w:val="0"/>
        <w:kinsoku/>
        <w:wordWrap/>
        <w:overflowPunct/>
        <w:topLinePunct w:val="0"/>
        <w:bidi w:val="0"/>
        <w:spacing w:line="560" w:lineRule="exact"/>
        <w:ind w:left="0" w:leftChars="0" w:right="0" w:rightChars="0" w:firstLine="0" w:firstLineChars="0"/>
        <w:textAlignment w:val="auto"/>
        <w:outlineLvl w:val="9"/>
        <w:rPr>
          <w:rFonts w:hint="default" w:ascii="Times New Roman" w:hAnsi="Times New Roman" w:eastAsia="仿宋_GB2312" w:cs="Times New Roman"/>
          <w:b w:val="0"/>
          <w:bCs w:val="0"/>
          <w:color w:val="auto"/>
          <w:sz w:val="32"/>
          <w:szCs w:val="32"/>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sdt>
      <w:sdtPr>
        <w:rPr>
          <w:rFonts w:hint="default" w:ascii="Times New Roman" w:hAnsi="Times New Roman" w:eastAsia="方正小标宋简体" w:cs="Times New Roman"/>
          <w:kern w:val="2"/>
          <w:sz w:val="30"/>
          <w:szCs w:val="30"/>
          <w:lang w:val="en-US" w:eastAsia="zh-CN" w:bidi="ar-SA"/>
        </w:rPr>
        <w:id w:val="84789783"/>
        <w15:color w:val="DBDBDB"/>
      </w:sdtPr>
      <w:sdtEndPr>
        <w:rPr>
          <w:rFonts w:hint="default" w:ascii="Times New Roman" w:hAnsi="Times New Roman" w:eastAsia="方正小标宋简体" w:cs="Times New Roman"/>
          <w:kern w:val="2"/>
          <w:sz w:val="30"/>
          <w:szCs w:val="30"/>
          <w:lang w:val="en-US" w:eastAsia="zh-CN" w:bidi="ar-SA"/>
        </w:rPr>
      </w:sdtEndPr>
      <w:sdtContent>
        <w:sdt>
          <w:sdtPr>
            <w:rPr>
              <w:rFonts w:hint="default" w:ascii="Times New Roman" w:hAnsi="Times New Roman" w:eastAsia="方正小标宋简体" w:cs="Times New Roman"/>
              <w:kern w:val="2"/>
              <w:sz w:val="30"/>
              <w:szCs w:val="30"/>
              <w:lang w:val="en-US" w:eastAsia="zh-CN" w:bidi="ar-SA"/>
            </w:rPr>
            <w:id w:val="147480697"/>
            <w15:color w:val="DBDBDB"/>
            <w:docPartObj>
              <w:docPartGallery w:val="Table of Contents"/>
              <w:docPartUnique/>
            </w:docPartObj>
          </w:sdtPr>
          <w:sdtEndPr>
            <w:rPr>
              <w:rFonts w:hint="default" w:ascii="Times New Roman" w:hAnsi="Times New Roman" w:eastAsia="方正小标宋简体" w:cs="Times New Roman"/>
              <w:kern w:val="2"/>
              <w:sz w:val="30"/>
              <w:szCs w:val="30"/>
              <w:lang w:val="en-US" w:eastAsia="zh-CN" w:bidi="ar-SA"/>
            </w:rPr>
          </w:sdtEndPr>
          <w:sdtContent>
            <w:p>
              <w:pPr>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default" w:ascii="Times New Roman" w:hAnsi="Times New Roman" w:eastAsia="方正公文小标宋" w:cs="Times New Roman"/>
                  <w:sz w:val="30"/>
                  <w:szCs w:val="30"/>
                </w:rPr>
              </w:pPr>
              <w:r>
                <w:rPr>
                  <w:rFonts w:hint="default" w:ascii="Times New Roman" w:hAnsi="Times New Roman" w:eastAsia="方正公文小标宋" w:cs="Times New Roman"/>
                  <w:sz w:val="30"/>
                  <w:szCs w:val="30"/>
                </w:rPr>
                <w:t>目</w:t>
              </w:r>
              <w:r>
                <w:rPr>
                  <w:rFonts w:hint="default" w:ascii="Times New Roman" w:hAnsi="Times New Roman" w:eastAsia="方正公文小标宋" w:cs="Times New Roman"/>
                  <w:sz w:val="30"/>
                  <w:szCs w:val="30"/>
                  <w:lang w:val="en-US" w:eastAsia="zh-CN"/>
                </w:rPr>
                <w:t xml:space="preserve"> </w:t>
              </w:r>
              <w:r>
                <w:rPr>
                  <w:rFonts w:hint="default" w:ascii="Times New Roman" w:hAnsi="Times New Roman" w:eastAsia="方正公文小标宋" w:cs="Times New Roman"/>
                  <w:sz w:val="30"/>
                  <w:szCs w:val="30"/>
                </w:rPr>
                <w:t>录</w:t>
              </w:r>
            </w:p>
            <w:p>
              <w:pPr>
                <w:pStyle w:val="9"/>
                <w:tabs>
                  <w:tab w:val="right" w:leader="dot" w:pos="8306"/>
                </w:tabs>
                <w:rPr>
                  <w:rFonts w:hint="default" w:ascii="Times New Roman" w:hAnsi="Times New Roman" w:eastAsia="楷体" w:cs="Times New Roman"/>
                  <w:sz w:val="24"/>
                  <w:szCs w:val="24"/>
                </w:rPr>
              </w:pP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TOC \o "1-3" \h \u </w:instrText>
              </w:r>
              <w:r>
                <w:rPr>
                  <w:rFonts w:hint="default" w:ascii="Times New Roman" w:hAnsi="Times New Roman" w:eastAsia="仿宋" w:cs="Times New Roman"/>
                  <w:sz w:val="24"/>
                  <w:szCs w:val="24"/>
                </w:rPr>
                <w:fldChar w:fldCharType="separate"/>
              </w: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HYPERLINK \l _Toc106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rPr>
                <w:t>内容真实性责任声明</w:t>
              </w:r>
              <w:r>
                <w:rPr>
                  <w:rFonts w:hint="default" w:ascii="Times New Roman" w:hAnsi="Times New Roman" w:eastAsia="楷体" w:cs="Times New Roman"/>
                  <w:b/>
                  <w:bCs/>
                  <w:sz w:val="24"/>
                  <w:szCs w:val="24"/>
                </w:rPr>
                <w:tab/>
              </w: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PAGEREF _Toc106 \h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rPr>
                <w:t>6</w:t>
              </w:r>
              <w:r>
                <w:rPr>
                  <w:rFonts w:hint="default" w:ascii="Times New Roman" w:hAnsi="Times New Roman" w:eastAsia="楷体" w:cs="Times New Roman"/>
                  <w:b/>
                  <w:bCs/>
                  <w:sz w:val="24"/>
                  <w:szCs w:val="24"/>
                </w:rPr>
                <w:fldChar w:fldCharType="end"/>
              </w:r>
              <w:r>
                <w:rPr>
                  <w:rFonts w:hint="default" w:ascii="Times New Roman" w:hAnsi="Times New Roman" w:eastAsia="楷体" w:cs="Times New Roman"/>
                  <w:b/>
                  <w:bCs/>
                  <w:sz w:val="24"/>
                  <w:szCs w:val="24"/>
                </w:rPr>
                <w:fldChar w:fldCharType="end"/>
              </w:r>
            </w:p>
            <w:p>
              <w:pPr>
                <w:pStyle w:val="9"/>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HYPERLINK \l _Toc9271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lang w:eastAsia="zh-CN"/>
                </w:rPr>
                <w:t>一、</w:t>
              </w:r>
              <w:r>
                <w:rPr>
                  <w:rFonts w:hint="default" w:ascii="Times New Roman" w:hAnsi="Times New Roman" w:eastAsia="楷体" w:cs="Times New Roman"/>
                  <w:b/>
                  <w:bCs/>
                  <w:sz w:val="24"/>
                  <w:szCs w:val="24"/>
                </w:rPr>
                <w:t>办学</w:t>
              </w:r>
              <w:r>
                <w:rPr>
                  <w:rFonts w:hint="default" w:ascii="Times New Roman" w:hAnsi="Times New Roman" w:eastAsia="楷体" w:cs="Times New Roman"/>
                  <w:b/>
                  <w:bCs/>
                  <w:sz w:val="24"/>
                  <w:szCs w:val="24"/>
                  <w:lang w:eastAsia="zh-CN"/>
                </w:rPr>
                <w:t>基本情况</w:t>
              </w:r>
              <w:r>
                <w:rPr>
                  <w:rFonts w:hint="default" w:ascii="Times New Roman" w:hAnsi="Times New Roman" w:eastAsia="楷体" w:cs="Times New Roman"/>
                  <w:b/>
                  <w:bCs/>
                  <w:sz w:val="24"/>
                  <w:szCs w:val="24"/>
                </w:rPr>
                <w:t>概述</w:t>
              </w:r>
              <w:r>
                <w:rPr>
                  <w:rFonts w:hint="default" w:ascii="Times New Roman" w:hAnsi="Times New Roman" w:eastAsia="楷体" w:cs="Times New Roman"/>
                  <w:b/>
                  <w:bCs/>
                  <w:sz w:val="24"/>
                  <w:szCs w:val="24"/>
                </w:rPr>
                <w:tab/>
              </w: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PAGEREF _Toc9271 \h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rPr>
                <w:t>7</w:t>
              </w:r>
              <w:r>
                <w:rPr>
                  <w:rFonts w:hint="default" w:ascii="Times New Roman" w:hAnsi="Times New Roman" w:eastAsia="楷体" w:cs="Times New Roman"/>
                  <w:b/>
                  <w:bCs/>
                  <w:sz w:val="24"/>
                  <w:szCs w:val="24"/>
                </w:rPr>
                <w:fldChar w:fldCharType="end"/>
              </w:r>
              <w:r>
                <w:rPr>
                  <w:rFonts w:hint="default" w:ascii="Times New Roman" w:hAnsi="Times New Roman" w:eastAsia="楷体" w:cs="Times New Roman"/>
                  <w:b/>
                  <w:bCs/>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_Toc13893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eastAsia="zh-CN"/>
                </w:rPr>
                <w:t>（一）</w:t>
              </w:r>
              <w:r>
                <w:rPr>
                  <w:rFonts w:hint="default" w:ascii="Times New Roman" w:hAnsi="Times New Roman" w:eastAsia="楷体" w:cs="Times New Roman"/>
                  <w:sz w:val="24"/>
                  <w:szCs w:val="24"/>
                </w:rPr>
                <w:t>办学条件</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_Toc13893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8</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_Toc8429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1.办学基本条件</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_Toc8429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8</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_Toc29421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2.实践教学条件</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_Toc29421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9</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_Toc5888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eastAsia="zh-CN"/>
                </w:rPr>
                <w:t>（二）</w:t>
              </w:r>
              <w:r>
                <w:rPr>
                  <w:rFonts w:hint="default" w:ascii="Times New Roman" w:hAnsi="Times New Roman" w:eastAsia="楷体" w:cs="Times New Roman"/>
                  <w:sz w:val="24"/>
                  <w:szCs w:val="24"/>
                </w:rPr>
                <w:t>专业建设</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_Toc5888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11</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_Toc4713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1.专业结构</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_Toc4713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11</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_Toc11698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2.专业及专业群建设</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_Toc11698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12</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_Toc27901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eastAsia="zh-CN"/>
                </w:rPr>
                <w:t>（三）</w:t>
              </w:r>
              <w:r>
                <w:rPr>
                  <w:rFonts w:hint="default" w:ascii="Times New Roman" w:hAnsi="Times New Roman" w:eastAsia="楷体" w:cs="Times New Roman"/>
                  <w:sz w:val="24"/>
                  <w:szCs w:val="24"/>
                </w:rPr>
                <w:t>师资队伍</w:t>
              </w:r>
              <w:r>
                <w:rPr>
                  <w:rFonts w:hint="default" w:ascii="Times New Roman" w:hAnsi="Times New Roman" w:eastAsia="楷体" w:cs="Times New Roman"/>
                  <w:sz w:val="24"/>
                  <w:szCs w:val="24"/>
                  <w:lang w:eastAsia="zh-CN"/>
                </w:rPr>
                <w:t>情况</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_Toc27901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13</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_Toc3733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（四）招生情况</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_Toc3733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13</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_Toc4756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1.科学谋划布局，</w:t>
              </w:r>
              <w:r>
                <w:rPr>
                  <w:rFonts w:hint="default" w:ascii="Times New Roman" w:hAnsi="Times New Roman" w:eastAsia="楷体" w:cs="Times New Roman"/>
                  <w:sz w:val="24"/>
                  <w:szCs w:val="24"/>
                  <w:lang w:val="en-US" w:eastAsia="zh-CN"/>
                </w:rPr>
                <w:t>计划完成率高</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_Toc4756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13</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_Toc30385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2.生源数量充足，生源质量稳定</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_Toc30385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14</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_Toc6990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（五）师生荣誉</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_Toc6990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15</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_Toc14754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1.教师荣誉</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_Toc14754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15</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_Toc3102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2.学生荣誉</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_Toc3102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16</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9"/>
                <w:tabs>
                  <w:tab w:val="right" w:leader="dot" w:pos="8306"/>
                </w:tabs>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HYPERLINK \l _Toc1005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lang w:eastAsia="zh-CN"/>
                </w:rPr>
                <w:t>二、</w:t>
              </w:r>
              <w:r>
                <w:rPr>
                  <w:rFonts w:hint="default" w:ascii="Times New Roman" w:hAnsi="Times New Roman" w:eastAsia="楷体" w:cs="Times New Roman"/>
                  <w:b/>
                  <w:bCs/>
                  <w:sz w:val="24"/>
                  <w:szCs w:val="24"/>
                </w:rPr>
                <w:t>学生发展</w:t>
              </w:r>
              <w:r>
                <w:rPr>
                  <w:rFonts w:hint="default" w:ascii="Times New Roman" w:hAnsi="Times New Roman" w:eastAsia="楷体" w:cs="Times New Roman"/>
                  <w:b/>
                  <w:bCs/>
                  <w:sz w:val="24"/>
                  <w:szCs w:val="24"/>
                </w:rPr>
                <w:tab/>
              </w: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PAGEREF _Toc1005 \h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rPr>
                <w:t>17</w:t>
              </w:r>
              <w:r>
                <w:rPr>
                  <w:rFonts w:hint="default" w:ascii="Times New Roman" w:hAnsi="Times New Roman" w:eastAsia="楷体" w:cs="Times New Roman"/>
                  <w:b/>
                  <w:bCs/>
                  <w:sz w:val="24"/>
                  <w:szCs w:val="24"/>
                </w:rPr>
                <w:fldChar w:fldCharType="end"/>
              </w:r>
              <w:r>
                <w:rPr>
                  <w:rFonts w:hint="default" w:ascii="Times New Roman" w:hAnsi="Times New Roman" w:eastAsia="楷体" w:cs="Times New Roman"/>
                  <w:b/>
                  <w:bCs/>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_Toc10156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（一）立德树人</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_Toc10156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17</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_Toc20508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1.学生思想政治教育</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_Toc20508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17</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_Toc15411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2.学生综合素质教育</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_Toc15411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20</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_Toc80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（二）就业质量</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_Toc80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22</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_Toc32049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1.</w:t>
              </w:r>
              <w:r>
                <w:rPr>
                  <w:rFonts w:hint="default" w:ascii="Times New Roman" w:hAnsi="Times New Roman" w:eastAsia="楷体" w:cs="Times New Roman"/>
                  <w:sz w:val="24"/>
                  <w:szCs w:val="24"/>
                </w:rPr>
                <w:t>提升就业质量的举措</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_Toc32049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22</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_Toc10799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2.</w:t>
              </w:r>
              <w:r>
                <w:rPr>
                  <w:rFonts w:hint="default" w:ascii="Times New Roman" w:hAnsi="Times New Roman" w:eastAsia="楷体" w:cs="Times New Roman"/>
                  <w:sz w:val="24"/>
                  <w:szCs w:val="24"/>
                </w:rPr>
                <w:t>毕业</w:t>
              </w:r>
              <w:r>
                <w:rPr>
                  <w:rFonts w:hint="default" w:ascii="Times New Roman" w:hAnsi="Times New Roman" w:eastAsia="楷体" w:cs="Times New Roman"/>
                  <w:sz w:val="24"/>
                  <w:szCs w:val="24"/>
                  <w:lang w:val="en-US" w:eastAsia="zh-CN"/>
                </w:rPr>
                <w:t>生</w:t>
              </w:r>
              <w:r>
                <w:rPr>
                  <w:rFonts w:hint="default" w:ascii="Times New Roman" w:hAnsi="Times New Roman" w:eastAsia="楷体" w:cs="Times New Roman"/>
                  <w:sz w:val="24"/>
                  <w:szCs w:val="24"/>
                </w:rPr>
                <w:t>初次</w:t>
              </w:r>
              <w:r>
                <w:rPr>
                  <w:rFonts w:hint="default" w:ascii="Times New Roman" w:hAnsi="Times New Roman" w:eastAsia="楷体" w:cs="Times New Roman"/>
                  <w:sz w:val="24"/>
                  <w:szCs w:val="24"/>
                  <w:lang w:val="en-US" w:eastAsia="zh-CN"/>
                </w:rPr>
                <w:t>就业</w:t>
              </w:r>
              <w:r>
                <w:rPr>
                  <w:rFonts w:hint="default" w:ascii="Times New Roman" w:hAnsi="Times New Roman" w:eastAsia="楷体" w:cs="Times New Roman"/>
                  <w:sz w:val="24"/>
                  <w:szCs w:val="24"/>
                </w:rPr>
                <w:t>率</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_Toc10799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24</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_Toc11777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3.</w:t>
              </w:r>
              <w:r>
                <w:rPr>
                  <w:rFonts w:hint="default" w:ascii="Times New Roman" w:hAnsi="Times New Roman" w:eastAsia="楷体" w:cs="Times New Roman"/>
                  <w:sz w:val="24"/>
                  <w:szCs w:val="24"/>
                </w:rPr>
                <w:t>毕业生就业质量</w:t>
              </w:r>
              <w:r>
                <w:rPr>
                  <w:rFonts w:hint="default" w:ascii="Times New Roman" w:hAnsi="Times New Roman" w:eastAsia="楷体" w:cs="Times New Roman"/>
                  <w:sz w:val="24"/>
                  <w:szCs w:val="24"/>
                  <w:lang w:eastAsia="zh-CN"/>
                </w:rPr>
                <w:t>持续向好</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_Toc11777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24</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_Toc24859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（三）在校体验</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_Toc24859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25</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_Toc12110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1.安全管理</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_Toc12110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25</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_Toc25759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2.团学活动</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_Toc25759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26</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_Toc8613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3.学生服务</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_Toc8613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27</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_Toc23957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4.心理健康工作</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_Toc23957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29</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_Toc12508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5.学生资助</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_Toc12508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29</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_Toc12501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（四）职业发展</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_Toc12501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30</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_Toc10379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1.创新创业教育</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_Toc10379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30</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_Toc11186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 xml:space="preserve"> 2.职业精神培养</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_Toc11186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32</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_Toc12245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（五）弘扬劳模精神和工匠精神</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_Toc12245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32</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_Toc21848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w:t>
              </w:r>
              <w:r>
                <w:rPr>
                  <w:rFonts w:hint="default" w:ascii="Times New Roman" w:hAnsi="Times New Roman" w:eastAsia="楷体" w:cs="Times New Roman"/>
                  <w:sz w:val="24"/>
                  <w:szCs w:val="24"/>
                  <w:lang w:val="en-US" w:eastAsia="zh-Hans"/>
                </w:rPr>
                <w:t>.</w:t>
              </w:r>
              <w:r>
                <w:rPr>
                  <w:rFonts w:hint="default" w:ascii="Times New Roman" w:hAnsi="Times New Roman" w:eastAsia="楷体" w:cs="Times New Roman"/>
                  <w:sz w:val="24"/>
                  <w:szCs w:val="24"/>
                </w:rPr>
                <w:t>加强劳动教育，弘扬劳模精神</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_Toc21848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32</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_Toc32509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2</w:t>
              </w:r>
              <w:r>
                <w:rPr>
                  <w:rFonts w:hint="default" w:ascii="Times New Roman" w:hAnsi="Times New Roman" w:eastAsia="楷体" w:cs="Times New Roman"/>
                  <w:sz w:val="24"/>
                  <w:szCs w:val="24"/>
                  <w:lang w:val="en-US" w:eastAsia="zh-Hans"/>
                </w:rPr>
                <w:t>.</w:t>
              </w:r>
              <w:r>
                <w:rPr>
                  <w:rFonts w:hint="default" w:ascii="Times New Roman" w:hAnsi="Times New Roman" w:eastAsia="楷体" w:cs="Times New Roman"/>
                  <w:sz w:val="24"/>
                  <w:szCs w:val="24"/>
                </w:rPr>
                <w:t>加强职业引导，弘扬工匠精神</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_Toc32509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33</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_Toc25524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3.</w:t>
              </w:r>
              <w:r>
                <w:rPr>
                  <w:rFonts w:hint="default" w:ascii="Times New Roman" w:hAnsi="Times New Roman" w:eastAsia="楷体" w:cs="Times New Roman"/>
                  <w:sz w:val="24"/>
                  <w:szCs w:val="24"/>
                </w:rPr>
                <w:t>开设“弘德育才”思政学堂</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_Toc25524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33</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9"/>
                <w:tabs>
                  <w:tab w:val="right" w:leader="dot" w:pos="8306"/>
                </w:tabs>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HYPERLINK \l _Toc16398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rPr>
                <w:t>三、教学改革</w:t>
              </w:r>
              <w:r>
                <w:rPr>
                  <w:rFonts w:hint="default" w:ascii="Times New Roman" w:hAnsi="Times New Roman" w:eastAsia="楷体" w:cs="Times New Roman"/>
                  <w:b/>
                  <w:bCs/>
                  <w:sz w:val="24"/>
                  <w:szCs w:val="24"/>
                </w:rPr>
                <w:tab/>
              </w: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PAGEREF _Toc16398 \h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rPr>
                <w:t>33</w:t>
              </w:r>
              <w:r>
                <w:rPr>
                  <w:rFonts w:hint="default" w:ascii="Times New Roman" w:hAnsi="Times New Roman" w:eastAsia="楷体" w:cs="Times New Roman"/>
                  <w:b/>
                  <w:bCs/>
                  <w:sz w:val="24"/>
                  <w:szCs w:val="24"/>
                </w:rPr>
                <w:fldChar w:fldCharType="end"/>
              </w:r>
              <w:r>
                <w:rPr>
                  <w:rFonts w:hint="default" w:ascii="Times New Roman" w:hAnsi="Times New Roman" w:eastAsia="楷体" w:cs="Times New Roman"/>
                  <w:b/>
                  <w:bCs/>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_Toc15661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（一）加强内涵建设，提升优势专业的引领作用</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_Toc15661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33</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_Toc14903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（二）深入推进教育教学改革</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_Toc14903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34</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_Toc9497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1.修订人培方案，深化“三教”改革</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_Toc9497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34</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_Toc16617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2.</w:t>
              </w:r>
              <w:r>
                <w:rPr>
                  <w:rFonts w:hint="default" w:ascii="Times New Roman" w:hAnsi="Times New Roman" w:eastAsia="楷体" w:cs="Times New Roman"/>
                  <w:sz w:val="24"/>
                  <w:szCs w:val="24"/>
                </w:rPr>
                <w:t>优化积累本科教育教学经验，提升整体教育教学水</w:t>
              </w:r>
              <w:r>
                <w:rPr>
                  <w:rFonts w:hint="default" w:ascii="Times New Roman" w:hAnsi="Times New Roman" w:eastAsia="楷体" w:cs="Times New Roman"/>
                  <w:sz w:val="24"/>
                  <w:szCs w:val="24"/>
                  <w:lang w:val="en-US" w:eastAsia="zh-CN"/>
                </w:rPr>
                <w:t>平</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_Toc16617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35</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_Toc4292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3.</w:t>
              </w:r>
              <w:r>
                <w:rPr>
                  <w:rFonts w:hint="default" w:ascii="Times New Roman" w:hAnsi="Times New Roman" w:eastAsia="楷体" w:cs="Times New Roman"/>
                  <w:sz w:val="24"/>
                  <w:szCs w:val="24"/>
                </w:rPr>
                <w:t>推进高职扩招服务地方高质量发展</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_Toc4292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35</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_Toc19773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4.打通职业教育上升通道，搭建人才培养立交桥</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_Toc19773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35</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_Toc4581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5.课程建设成效显著</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_Toc4581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37</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_Toc6949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6.教材建设成果</w:t>
              </w:r>
              <w:r>
                <w:rPr>
                  <w:rFonts w:hint="default" w:ascii="Times New Roman" w:hAnsi="Times New Roman" w:eastAsia="楷体" w:cs="Times New Roman"/>
                  <w:sz w:val="24"/>
                  <w:szCs w:val="24"/>
                  <w:lang w:val="en-US" w:eastAsia="zh-CN"/>
                </w:rPr>
                <w:t>取得</w:t>
              </w:r>
              <w:r>
                <w:rPr>
                  <w:rFonts w:hint="default" w:ascii="Times New Roman" w:hAnsi="Times New Roman" w:eastAsia="楷体" w:cs="Times New Roman"/>
                  <w:sz w:val="24"/>
                  <w:szCs w:val="24"/>
                </w:rPr>
                <w:t>新突破</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_Toc6949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38</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_Toc26990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7.紧扣“双高”建设任务，有效推行1+X证书制度试点工作</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_Toc26990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39</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_Toc12652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（三）校企合作，产教融合成效显著</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_Toc12652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39</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_Toc11795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（四）实训基地建设</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_Toc11795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41</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_Toc12964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（五）凝心聚力，扎实推进科研工作</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_Toc12964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41</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9"/>
                <w:tabs>
                  <w:tab w:val="right" w:leader="dot" w:pos="8306"/>
                </w:tabs>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HYPERLINK \l _Toc3089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lang w:eastAsia="zh-CN"/>
                </w:rPr>
                <w:t>四、</w:t>
              </w:r>
              <w:r>
                <w:rPr>
                  <w:rFonts w:hint="default" w:ascii="Times New Roman" w:hAnsi="Times New Roman" w:eastAsia="楷体" w:cs="Times New Roman"/>
                  <w:b/>
                  <w:bCs/>
                  <w:sz w:val="24"/>
                  <w:szCs w:val="24"/>
                </w:rPr>
                <w:t>政策保障</w:t>
              </w:r>
              <w:r>
                <w:rPr>
                  <w:rFonts w:hint="default" w:ascii="Times New Roman" w:hAnsi="Times New Roman" w:eastAsia="楷体" w:cs="Times New Roman"/>
                  <w:b/>
                  <w:bCs/>
                  <w:sz w:val="24"/>
                  <w:szCs w:val="24"/>
                </w:rPr>
                <w:tab/>
              </w: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PAGEREF _Toc3089 \h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rPr>
                <w:t>42</w:t>
              </w:r>
              <w:r>
                <w:rPr>
                  <w:rFonts w:hint="default" w:ascii="Times New Roman" w:hAnsi="Times New Roman" w:eastAsia="楷体" w:cs="Times New Roman"/>
                  <w:b/>
                  <w:bCs/>
                  <w:sz w:val="24"/>
                  <w:szCs w:val="24"/>
                </w:rPr>
                <w:fldChar w:fldCharType="end"/>
              </w:r>
              <w:r>
                <w:rPr>
                  <w:rFonts w:hint="default" w:ascii="Times New Roman" w:hAnsi="Times New Roman" w:eastAsia="楷体" w:cs="Times New Roman"/>
                  <w:b/>
                  <w:bCs/>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_Toc1631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eastAsia="zh-CN"/>
                </w:rPr>
                <w:t>（一）党建引领</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_Toc1631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42</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_Toc4070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1.实施“党的领导力全面提升行动计划”，落实党委领导下的校长负责制，推进议事决策制度全覆盖无“盲区”</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_Toc4070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42</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_Toc9585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2.实施“意识形态工作强化行动计划”，加强意识形态阵地管理，推进校园融媒体建设</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_Toc9585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43</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_Toc15392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3.实施“‘三进’行动计划”，建设高水平马克思主义学院，大力培育“鲁班精神”</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_Toc15392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44</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_Toc26896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4.实施“‘三全育人’推进行动计划”，健全“三级联动机制”，建设“三全育人”试点院系</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_Toc26896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45</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_Toc27258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5.实施“基层党建创新行动计划”，创建全国高校党建工作标杆院系和党建工作样板支部</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_Toc27258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46</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_Toc31745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eastAsia="zh-CN"/>
                </w:rPr>
                <w:t>（二）</w:t>
              </w:r>
              <w:r>
                <w:rPr>
                  <w:rFonts w:hint="default" w:ascii="Times New Roman" w:hAnsi="Times New Roman" w:eastAsia="楷体" w:cs="Times New Roman"/>
                  <w:sz w:val="24"/>
                  <w:szCs w:val="24"/>
                  <w:lang w:val="en-US" w:eastAsia="zh-CN"/>
                </w:rPr>
                <w:t>师资队伍建设</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_Toc31745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48</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_Toc15050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1.优化环境保障机制，营造人才创新良好生态</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_Toc15050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48</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_Toc17983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2.实施双轮驱动战略，打造高水平师资队伍</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_Toc17983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49</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_Toc9886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eastAsia="zh-CN"/>
                </w:rPr>
                <w:t>（三）加强治理体系和治理能力建设，全面提升学校治理水平</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_Toc9886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49</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_Toc11961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eastAsia="zh-CN"/>
                </w:rPr>
                <w:t>（四）</w:t>
              </w:r>
              <w:r>
                <w:rPr>
                  <w:rFonts w:hint="default" w:ascii="Times New Roman" w:hAnsi="Times New Roman" w:eastAsia="楷体" w:cs="Times New Roman"/>
                  <w:sz w:val="24"/>
                  <w:szCs w:val="24"/>
                  <w:lang w:val="en-US" w:eastAsia="zh-CN"/>
                </w:rPr>
                <w:t>校园文化</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_Toc11961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51</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_Toc18034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1</w:t>
              </w:r>
              <w:r>
                <w:rPr>
                  <w:rFonts w:hint="default" w:ascii="Times New Roman" w:hAnsi="Times New Roman" w:eastAsia="楷体" w:cs="Times New Roman"/>
                  <w:sz w:val="24"/>
                  <w:szCs w:val="24"/>
                </w:rPr>
                <w:t>.落实意识形态工作责任制，加强意识形态阵地管理</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_Toc18034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51</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_Toc11288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2</w:t>
              </w:r>
              <w:r>
                <w:rPr>
                  <w:rFonts w:hint="default" w:ascii="Times New Roman" w:hAnsi="Times New Roman" w:eastAsia="楷体" w:cs="Times New Roman"/>
                  <w:sz w:val="24"/>
                  <w:szCs w:val="24"/>
                </w:rPr>
                <w:t>.全面推进“三全育人”综合改革工作，</w:t>
              </w:r>
              <w:r>
                <w:rPr>
                  <w:rFonts w:hint="default" w:ascii="Times New Roman" w:hAnsi="Times New Roman" w:eastAsia="楷体" w:cs="Times New Roman"/>
                  <w:sz w:val="24"/>
                  <w:szCs w:val="24"/>
                  <w:lang w:val="en-US" w:eastAsia="zh-CN"/>
                </w:rPr>
                <w:t>加快构建我校思想政治工作体系</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_Toc11288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51</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_Toc32230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3</w:t>
              </w:r>
              <w:r>
                <w:rPr>
                  <w:rFonts w:hint="default" w:ascii="Times New Roman" w:hAnsi="Times New Roman" w:eastAsia="楷体" w:cs="Times New Roman"/>
                  <w:sz w:val="24"/>
                  <w:szCs w:val="24"/>
                </w:rPr>
                <w:t>.凝练</w:t>
              </w:r>
              <w:r>
                <w:rPr>
                  <w:rFonts w:hint="default" w:ascii="Times New Roman" w:hAnsi="Times New Roman" w:eastAsia="楷体" w:cs="Times New Roman"/>
                  <w:sz w:val="24"/>
                  <w:szCs w:val="24"/>
                  <w:lang w:val="en-US" w:eastAsia="zh-CN"/>
                </w:rPr>
                <w:t>校园文化</w:t>
              </w:r>
              <w:r>
                <w:rPr>
                  <w:rFonts w:hint="default" w:ascii="Times New Roman" w:hAnsi="Times New Roman" w:eastAsia="楷体" w:cs="Times New Roman"/>
                  <w:sz w:val="24"/>
                  <w:szCs w:val="24"/>
                </w:rPr>
                <w:t>特色</w:t>
              </w:r>
              <w:r>
                <w:rPr>
                  <w:rFonts w:hint="default" w:ascii="Times New Roman" w:hAnsi="Times New Roman" w:eastAsia="楷体" w:cs="Times New Roman"/>
                  <w:sz w:val="24"/>
                  <w:szCs w:val="24"/>
                  <w:lang w:eastAsia="zh-CN"/>
                </w:rPr>
                <w:t>，</w:t>
              </w:r>
              <w:r>
                <w:rPr>
                  <w:rFonts w:hint="default" w:ascii="Times New Roman" w:hAnsi="Times New Roman" w:eastAsia="楷体" w:cs="Times New Roman"/>
                  <w:sz w:val="24"/>
                  <w:szCs w:val="24"/>
                </w:rPr>
                <w:t>创建自治区文明校园</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_Toc32230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52</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_Toc9393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4</w:t>
              </w:r>
              <w:r>
                <w:rPr>
                  <w:rFonts w:hint="default" w:ascii="Times New Roman" w:hAnsi="Times New Roman" w:eastAsia="楷体" w:cs="Times New Roman"/>
                  <w:sz w:val="24"/>
                  <w:szCs w:val="24"/>
                </w:rPr>
                <w:t>.开展校园文化品牌创建活动，加强二级院系校园文化“一系一品”建设</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_Toc9393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52</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_Toc11872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eastAsia="zh-CN"/>
                </w:rPr>
                <w:t>（五）</w:t>
              </w:r>
              <w:r>
                <w:rPr>
                  <w:rFonts w:hint="default" w:ascii="Times New Roman" w:hAnsi="Times New Roman" w:eastAsia="楷体" w:cs="Times New Roman"/>
                  <w:sz w:val="24"/>
                  <w:szCs w:val="24"/>
                  <w:lang w:val="en-US" w:eastAsia="zh-CN"/>
                </w:rPr>
                <w:t>内部</w:t>
              </w:r>
              <w:r>
                <w:rPr>
                  <w:rFonts w:hint="default" w:ascii="Times New Roman" w:hAnsi="Times New Roman" w:eastAsia="楷体" w:cs="Times New Roman"/>
                  <w:sz w:val="24"/>
                  <w:szCs w:val="24"/>
                  <w:lang w:eastAsia="zh-CN"/>
                </w:rPr>
                <w:t>质量保障</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_Toc11872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53</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_Toc24336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w:t>
              </w:r>
              <w:r>
                <w:rPr>
                  <w:rFonts w:hint="default" w:ascii="Times New Roman" w:hAnsi="Times New Roman" w:eastAsia="楷体" w:cs="Times New Roman"/>
                  <w:sz w:val="24"/>
                  <w:szCs w:val="24"/>
                  <w:lang w:val="en-US" w:eastAsia="zh-CN"/>
                </w:rPr>
                <w:t>持续推进</w:t>
              </w:r>
              <w:r>
                <w:rPr>
                  <w:rFonts w:hint="default" w:ascii="Times New Roman" w:hAnsi="Times New Roman" w:eastAsia="楷体" w:cs="Times New Roman"/>
                  <w:sz w:val="24"/>
                  <w:szCs w:val="24"/>
                  <w:lang w:eastAsia="zh-CN"/>
                </w:rPr>
                <w:t>内部质量保证体系</w:t>
              </w:r>
              <w:r>
                <w:rPr>
                  <w:rFonts w:hint="default" w:ascii="Times New Roman" w:hAnsi="Times New Roman" w:eastAsia="楷体" w:cs="Times New Roman"/>
                  <w:sz w:val="24"/>
                  <w:szCs w:val="24"/>
                  <w:lang w:val="en-US" w:eastAsia="zh-CN"/>
                </w:rPr>
                <w:t>建设</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_Toc24336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53</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_Toc19451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2.</w:t>
              </w:r>
              <w:r>
                <w:rPr>
                  <w:rFonts w:hint="default" w:ascii="Times New Roman" w:hAnsi="Times New Roman" w:eastAsia="楷体" w:cs="Times New Roman"/>
                  <w:sz w:val="24"/>
                  <w:szCs w:val="24"/>
                </w:rPr>
                <w:t>推进质量管理监控机制和评价制度改革</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_Toc19451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54</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_Toc4024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（六）</w:t>
              </w:r>
              <w:r>
                <w:rPr>
                  <w:rFonts w:hint="default" w:ascii="Times New Roman" w:hAnsi="Times New Roman" w:eastAsia="楷体" w:cs="Times New Roman"/>
                  <w:sz w:val="24"/>
                  <w:szCs w:val="24"/>
                  <w:lang w:eastAsia="zh-CN"/>
                </w:rPr>
                <w:t>经费投入与支出</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_Toc4024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55</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9"/>
                <w:tabs>
                  <w:tab w:val="right" w:leader="dot" w:pos="8306"/>
                </w:tabs>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HYPERLINK \l _Toc13840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lang w:eastAsia="zh-CN"/>
                </w:rPr>
                <w:t>五、国际交流与合作</w:t>
              </w:r>
              <w:r>
                <w:rPr>
                  <w:rFonts w:hint="default" w:ascii="Times New Roman" w:hAnsi="Times New Roman" w:eastAsia="楷体" w:cs="Times New Roman"/>
                  <w:b/>
                  <w:bCs/>
                  <w:sz w:val="24"/>
                  <w:szCs w:val="24"/>
                </w:rPr>
                <w:tab/>
              </w: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PAGEREF _Toc13840 \h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rPr>
                <w:t>55</w:t>
              </w:r>
              <w:r>
                <w:rPr>
                  <w:rFonts w:hint="default" w:ascii="Times New Roman" w:hAnsi="Times New Roman" w:eastAsia="楷体" w:cs="Times New Roman"/>
                  <w:b/>
                  <w:bCs/>
                  <w:sz w:val="24"/>
                  <w:szCs w:val="24"/>
                </w:rPr>
                <w:fldChar w:fldCharType="end"/>
              </w:r>
              <w:r>
                <w:rPr>
                  <w:rFonts w:hint="default" w:ascii="Times New Roman" w:hAnsi="Times New Roman" w:eastAsia="楷体" w:cs="Times New Roman"/>
                  <w:b/>
                  <w:bCs/>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_Toc2614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(一)借力拓宽合作领域，唱好国际化建设大戏</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_Toc2614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55</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_Toc18840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(二)重视合作办学项目的提质增效，推进人才培养国际化</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_Toc18840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56</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ind w:left="0" w:leftChars="0" w:firstLine="960" w:firstLineChars="4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_Toc2213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（三）加快推进专业国际化认证，增加优势专业的含金量和价值</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_Toc2213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56</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_Toc469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（四）加大对外宣传的力度，扩大我校在东盟国家的知名度</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_Toc469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56</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9"/>
                <w:tabs>
                  <w:tab w:val="right" w:leader="dot" w:pos="8306"/>
                </w:tabs>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HYPERLINK \l _Toc10605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lang w:eastAsia="zh-CN"/>
                </w:rPr>
                <w:t>六、服务贡献</w:t>
              </w:r>
              <w:r>
                <w:rPr>
                  <w:rFonts w:hint="default" w:ascii="Times New Roman" w:hAnsi="Times New Roman" w:eastAsia="楷体" w:cs="Times New Roman"/>
                  <w:b/>
                  <w:bCs/>
                  <w:sz w:val="24"/>
                  <w:szCs w:val="24"/>
                </w:rPr>
                <w:tab/>
              </w: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PAGEREF _Toc10605 \h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rPr>
                <w:t>57</w:t>
              </w:r>
              <w:r>
                <w:rPr>
                  <w:rFonts w:hint="default" w:ascii="Times New Roman" w:hAnsi="Times New Roman" w:eastAsia="楷体" w:cs="Times New Roman"/>
                  <w:b/>
                  <w:bCs/>
                  <w:sz w:val="24"/>
                  <w:szCs w:val="24"/>
                </w:rPr>
                <w:fldChar w:fldCharType="end"/>
              </w:r>
              <w:r>
                <w:rPr>
                  <w:rFonts w:hint="default" w:ascii="Times New Roman" w:hAnsi="Times New Roman" w:eastAsia="楷体" w:cs="Times New Roman"/>
                  <w:b/>
                  <w:bCs/>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_Toc5787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eastAsia="zh-CN"/>
                </w:rPr>
                <w:t>（一）服务国家战略情况</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_Toc5787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57</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_Toc2784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1.对口支援</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_Toc2784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57</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_Toc919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2.乡村振兴</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_Toc919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57</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_Toc15885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eastAsia="zh-CN"/>
                </w:rPr>
                <w:t>（二）服务地区情况</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_Toc15885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60</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_Toc29005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1.毕业生去向</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_Toc29005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60</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_Toc12905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2.非学历教育与培训</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_Toc12905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60</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_Toc17284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3.职业技能鉴定与资格认证</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_Toc17284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62</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_Toc27404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4.服务地方文化建设</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_Toc27404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62</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_Toc29408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（三）服务行业企业</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_Toc29408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64</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_Toc29522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1.行业人才培养</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_Toc29522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64</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_Toc12446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2.行业专业服务</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_Toc12446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65</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9"/>
                <w:tabs>
                  <w:tab w:val="right" w:leader="dot" w:pos="8306"/>
                </w:tabs>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HYPERLINK \l _Toc27009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lang w:eastAsia="zh-CN"/>
                </w:rPr>
                <w:t>七、疫情</w:t>
              </w:r>
              <w:r>
                <w:rPr>
                  <w:rFonts w:hint="default" w:ascii="Times New Roman" w:hAnsi="Times New Roman" w:eastAsia="楷体" w:cs="Times New Roman"/>
                  <w:b/>
                  <w:bCs/>
                  <w:sz w:val="24"/>
                  <w:szCs w:val="24"/>
                  <w:lang w:val="en-US" w:eastAsia="zh-CN"/>
                </w:rPr>
                <w:t>防控</w:t>
              </w:r>
              <w:r>
                <w:rPr>
                  <w:rFonts w:hint="default" w:ascii="Times New Roman" w:hAnsi="Times New Roman" w:eastAsia="楷体" w:cs="Times New Roman"/>
                  <w:b/>
                  <w:bCs/>
                  <w:sz w:val="24"/>
                  <w:szCs w:val="24"/>
                </w:rPr>
                <w:tab/>
              </w: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PAGEREF _Toc27009 \h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rPr>
                <w:t>67</w:t>
              </w:r>
              <w:r>
                <w:rPr>
                  <w:rFonts w:hint="default" w:ascii="Times New Roman" w:hAnsi="Times New Roman" w:eastAsia="楷体" w:cs="Times New Roman"/>
                  <w:b/>
                  <w:bCs/>
                  <w:sz w:val="24"/>
                  <w:szCs w:val="24"/>
                </w:rPr>
                <w:fldChar w:fldCharType="end"/>
              </w:r>
              <w:r>
                <w:rPr>
                  <w:rFonts w:hint="default" w:ascii="Times New Roman" w:hAnsi="Times New Roman" w:eastAsia="楷体" w:cs="Times New Roman"/>
                  <w:b/>
                  <w:bCs/>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_Toc9847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eastAsia="zh-CN"/>
                </w:rPr>
                <w:t>（一）</w:t>
              </w:r>
              <w:r>
                <w:rPr>
                  <w:rFonts w:hint="default" w:ascii="Times New Roman" w:hAnsi="Times New Roman" w:eastAsia="楷体" w:cs="Times New Roman"/>
                  <w:sz w:val="24"/>
                  <w:szCs w:val="24"/>
                  <w:lang w:val="en-US" w:eastAsia="zh-CN"/>
                </w:rPr>
                <w:t>教育</w:t>
              </w:r>
              <w:r>
                <w:rPr>
                  <w:rFonts w:hint="default" w:ascii="Times New Roman" w:hAnsi="Times New Roman" w:eastAsia="楷体" w:cs="Times New Roman"/>
                  <w:sz w:val="24"/>
                  <w:szCs w:val="24"/>
                  <w:lang w:eastAsia="zh-CN"/>
                </w:rPr>
                <w:t>教学工作</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_Toc9847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67</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_Toc19176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1.提高认识，科学实施，认真落实教学中心任务</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_Toc19176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67</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_Toc21770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2.压实责任主体，统筹协调，严格规范组织管理</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_Toc21770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68</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_Toc29685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3.线上线下两手抓，教学教研出成效</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_Toc29685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68</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_Toc13362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4.专项督查不走过场，立行立改见实效</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_Toc13362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69</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_Toc23983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5.优化服务，强化激励，着力提供五项支撑保障</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_Toc23983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69</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_Toc7946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eastAsia="zh-CN"/>
                </w:rPr>
                <w:t>（二）学生管理工作</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_Toc7946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70</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_Toc27699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1</w:t>
              </w:r>
              <w:r>
                <w:rPr>
                  <w:rFonts w:hint="default" w:ascii="Times New Roman" w:hAnsi="Times New Roman" w:eastAsia="楷体" w:cs="Times New Roman"/>
                  <w:sz w:val="24"/>
                  <w:szCs w:val="24"/>
                  <w:lang w:eastAsia="zh-CN"/>
                </w:rPr>
                <w:t>.</w:t>
              </w:r>
              <w:r>
                <w:rPr>
                  <w:rFonts w:hint="default" w:ascii="Times New Roman" w:hAnsi="Times New Roman" w:eastAsia="楷体" w:cs="Times New Roman"/>
                  <w:sz w:val="24"/>
                  <w:szCs w:val="24"/>
                </w:rPr>
                <w:t>筑牢校园“防疫墙”，打好疫情防控基础</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_Toc27699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70</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_Toc12546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2.</w:t>
              </w:r>
              <w:r>
                <w:rPr>
                  <w:rFonts w:hint="default" w:ascii="Times New Roman" w:hAnsi="Times New Roman" w:eastAsia="楷体" w:cs="Times New Roman"/>
                  <w:sz w:val="24"/>
                  <w:szCs w:val="24"/>
                </w:rPr>
                <w:t>加强学生教育管理，落实常态化疫情防控</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_Toc12546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70</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_Toc9398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3.</w:t>
              </w:r>
              <w:r>
                <w:rPr>
                  <w:rFonts w:hint="default" w:ascii="Times New Roman" w:hAnsi="Times New Roman" w:eastAsia="楷体" w:cs="Times New Roman"/>
                  <w:sz w:val="24"/>
                  <w:szCs w:val="24"/>
                </w:rPr>
                <w:t>多措并举强化公寓管理，优化疫情防控人性化服务</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_Toc9398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70</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_Toc10622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4.</w:t>
              </w:r>
              <w:r>
                <w:rPr>
                  <w:rFonts w:hint="default" w:ascii="Times New Roman" w:hAnsi="Times New Roman" w:eastAsia="楷体" w:cs="Times New Roman"/>
                  <w:sz w:val="24"/>
                  <w:szCs w:val="24"/>
                </w:rPr>
                <w:t>扎实开展心理支持服务，架起心灵沟通“暖心桥”</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_Toc10622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71</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_Toc2665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eastAsia="zh-CN"/>
                </w:rPr>
                <w:t>（三）教职工管理</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_Toc2665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71</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_Toc18708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1.</w:t>
              </w:r>
              <w:r>
                <w:rPr>
                  <w:rFonts w:hint="default" w:ascii="Times New Roman" w:hAnsi="Times New Roman" w:eastAsia="楷体" w:cs="Times New Roman"/>
                  <w:sz w:val="24"/>
                  <w:szCs w:val="24"/>
                </w:rPr>
                <w:t>全面加强情防控监督管理</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_Toc18708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71</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_Toc6981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2.做好教职工疫苗接种工作</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_Toc6981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72</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_Toc8907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eastAsia="zh-CN"/>
                </w:rPr>
                <w:t>（四）学校日常管理</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_Toc8907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72</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_Toc22494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1.</w:t>
              </w:r>
              <w:r>
                <w:rPr>
                  <w:rFonts w:hint="default" w:ascii="Times New Roman" w:hAnsi="Times New Roman" w:eastAsia="楷体" w:cs="Times New Roman"/>
                  <w:sz w:val="24"/>
                  <w:szCs w:val="24"/>
                </w:rPr>
                <w:t>高标准、严要求推进</w:t>
              </w:r>
              <w:r>
                <w:rPr>
                  <w:rFonts w:hint="default" w:ascii="Times New Roman" w:hAnsi="Times New Roman" w:eastAsia="楷体" w:cs="Times New Roman"/>
                  <w:sz w:val="24"/>
                  <w:szCs w:val="24"/>
                  <w:lang w:eastAsia="zh-CN"/>
                </w:rPr>
                <w:t>常态化疫情防控</w:t>
              </w:r>
              <w:r>
                <w:rPr>
                  <w:rFonts w:hint="default" w:ascii="Times New Roman" w:hAnsi="Times New Roman" w:eastAsia="楷体" w:cs="Times New Roman"/>
                  <w:sz w:val="24"/>
                  <w:szCs w:val="24"/>
                </w:rPr>
                <w:t>工作</w:t>
              </w:r>
              <w:r>
                <w:rPr>
                  <w:rFonts w:hint="default" w:ascii="Times New Roman" w:hAnsi="Times New Roman" w:eastAsia="楷体" w:cs="Times New Roman"/>
                  <w:sz w:val="24"/>
                  <w:szCs w:val="24"/>
                  <w:lang w:val="en-US" w:eastAsia="zh-CN"/>
                </w:rPr>
                <w:t>保障</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_Toc22494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72</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6"/>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_Toc17379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2.主动作为，牵头推进大型新冠疫苗进校园接种工作</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_Toc17379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73</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9"/>
                <w:tabs>
                  <w:tab w:val="right" w:leader="dot" w:pos="8306"/>
                </w:tabs>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HYPERLINK \l _Toc21384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lang w:val="en-US" w:eastAsia="zh-Hans"/>
                </w:rPr>
                <w:t>八</w:t>
              </w:r>
              <w:r>
                <w:rPr>
                  <w:rFonts w:hint="default" w:ascii="Times New Roman" w:hAnsi="Times New Roman" w:eastAsia="楷体" w:cs="Times New Roman"/>
                  <w:b/>
                  <w:bCs/>
                  <w:sz w:val="24"/>
                  <w:szCs w:val="24"/>
                  <w:lang w:eastAsia="zh-Hans"/>
                </w:rPr>
                <w:t>、</w:t>
              </w:r>
              <w:r>
                <w:rPr>
                  <w:rFonts w:hint="default" w:ascii="Times New Roman" w:hAnsi="Times New Roman" w:eastAsia="楷体" w:cs="Times New Roman"/>
                  <w:b/>
                  <w:bCs/>
                  <w:sz w:val="24"/>
                  <w:szCs w:val="24"/>
                  <w:lang w:val="en-US" w:eastAsia="zh-Hans"/>
                </w:rPr>
                <w:t>挑战与展望</w:t>
              </w:r>
              <w:r>
                <w:rPr>
                  <w:rFonts w:hint="default" w:ascii="Times New Roman" w:hAnsi="Times New Roman" w:eastAsia="楷体" w:cs="Times New Roman"/>
                  <w:b/>
                  <w:bCs/>
                  <w:sz w:val="24"/>
                  <w:szCs w:val="24"/>
                </w:rPr>
                <w:tab/>
              </w: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PAGEREF _Toc21384 \h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rPr>
                <w:t>73</w:t>
              </w:r>
              <w:r>
                <w:rPr>
                  <w:rFonts w:hint="default" w:ascii="Times New Roman" w:hAnsi="Times New Roman" w:eastAsia="楷体" w:cs="Times New Roman"/>
                  <w:b/>
                  <w:bCs/>
                  <w:sz w:val="24"/>
                  <w:szCs w:val="24"/>
                </w:rPr>
                <w:fldChar w:fldCharType="end"/>
              </w:r>
              <w:r>
                <w:rPr>
                  <w:rFonts w:hint="default" w:ascii="Times New Roman" w:hAnsi="Times New Roman" w:eastAsia="楷体" w:cs="Times New Roman"/>
                  <w:b/>
                  <w:bCs/>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_Toc2349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（一）挑战</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_Toc2349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73</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_Toc23411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lang w:val="en-US" w:eastAsia="zh-CN"/>
                </w:rPr>
                <w:t>（二）展望</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_Toc23411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74</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9"/>
                <w:tabs>
                  <w:tab w:val="right" w:leader="dot" w:pos="8306"/>
                </w:tabs>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HYPERLINK \l _Toc26673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lang w:val="en-US" w:eastAsia="zh-Hans"/>
                </w:rPr>
                <w:t>九</w:t>
              </w:r>
              <w:r>
                <w:rPr>
                  <w:rFonts w:hint="default" w:ascii="Times New Roman" w:hAnsi="Times New Roman" w:eastAsia="楷体" w:cs="Times New Roman"/>
                  <w:b/>
                  <w:bCs/>
                  <w:sz w:val="24"/>
                  <w:szCs w:val="24"/>
                  <w:lang w:eastAsia="zh-CN"/>
                </w:rPr>
                <w:t>、相关附表</w:t>
              </w:r>
              <w:r>
                <w:rPr>
                  <w:rFonts w:hint="default" w:ascii="Times New Roman" w:hAnsi="Times New Roman" w:eastAsia="楷体" w:cs="Times New Roman"/>
                  <w:b/>
                  <w:bCs/>
                  <w:sz w:val="24"/>
                  <w:szCs w:val="24"/>
                </w:rPr>
                <w:tab/>
              </w:r>
              <w:r>
                <w:rPr>
                  <w:rFonts w:hint="default" w:ascii="Times New Roman" w:hAnsi="Times New Roman" w:eastAsia="楷体" w:cs="Times New Roman"/>
                  <w:b/>
                  <w:bCs/>
                  <w:sz w:val="24"/>
                  <w:szCs w:val="24"/>
                </w:rPr>
                <w:fldChar w:fldCharType="begin"/>
              </w:r>
              <w:r>
                <w:rPr>
                  <w:rFonts w:hint="default" w:ascii="Times New Roman" w:hAnsi="Times New Roman" w:eastAsia="楷体" w:cs="Times New Roman"/>
                  <w:b/>
                  <w:bCs/>
                  <w:sz w:val="24"/>
                  <w:szCs w:val="24"/>
                </w:rPr>
                <w:instrText xml:space="preserve"> PAGEREF _Toc26673 \h </w:instrText>
              </w:r>
              <w:r>
                <w:rPr>
                  <w:rFonts w:hint="default" w:ascii="Times New Roman" w:hAnsi="Times New Roman" w:eastAsia="楷体" w:cs="Times New Roman"/>
                  <w:b/>
                  <w:bCs/>
                  <w:sz w:val="24"/>
                  <w:szCs w:val="24"/>
                </w:rPr>
                <w:fldChar w:fldCharType="separate"/>
              </w:r>
              <w:r>
                <w:rPr>
                  <w:rFonts w:hint="default" w:ascii="Times New Roman" w:hAnsi="Times New Roman" w:eastAsia="楷体" w:cs="Times New Roman"/>
                  <w:b/>
                  <w:bCs/>
                  <w:sz w:val="24"/>
                  <w:szCs w:val="24"/>
                </w:rPr>
                <w:t>75</w:t>
              </w:r>
              <w:r>
                <w:rPr>
                  <w:rFonts w:hint="default" w:ascii="Times New Roman" w:hAnsi="Times New Roman" w:eastAsia="楷体" w:cs="Times New Roman"/>
                  <w:b/>
                  <w:bCs/>
                  <w:sz w:val="24"/>
                  <w:szCs w:val="24"/>
                </w:rPr>
                <w:fldChar w:fldCharType="end"/>
              </w:r>
              <w:r>
                <w:rPr>
                  <w:rFonts w:hint="default" w:ascii="Times New Roman" w:hAnsi="Times New Roman" w:eastAsia="楷体" w:cs="Times New Roman"/>
                  <w:b/>
                  <w:bCs/>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_Toc24503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表1 计分卡</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_Toc24503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75</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_Toc26257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表2 学生反馈表</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_Toc26257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75</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_Toc30133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表3 教学资源表</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_Toc30133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76</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_Toc22885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表4 国际影响表</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_Toc22885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77</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rPr>
                  <w:rFonts w:hint="default" w:ascii="Times New Roman" w:hAnsi="Times New Roman" w:eastAsia="楷体" w:cs="Times New Roman"/>
                  <w:sz w:val="24"/>
                  <w:szCs w:val="24"/>
                </w:rPr>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_Toc18032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表5 服务贡献表</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_Toc18032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78</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pStyle w:val="10"/>
                <w:tabs>
                  <w:tab w:val="right" w:leader="dot" w:pos="8306"/>
                </w:tabs>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HYPERLINK \l _Toc5291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表6 落实政策表</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PAGEREF _Toc5291 \h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79</w:t>
              </w:r>
              <w:r>
                <w:rPr>
                  <w:rFonts w:hint="default" w:ascii="Times New Roman" w:hAnsi="Times New Roman" w:eastAsia="楷体" w:cs="Times New Roman"/>
                  <w:sz w:val="24"/>
                  <w:szCs w:val="24"/>
                </w:rPr>
                <w:fldChar w:fldCharType="end"/>
              </w:r>
              <w:r>
                <w:rPr>
                  <w:rFonts w:hint="default" w:ascii="Times New Roman" w:hAnsi="Times New Roman" w:eastAsia="楷体" w:cs="Times New Roman"/>
                  <w:sz w:val="24"/>
                  <w:szCs w:val="24"/>
                </w:rPr>
                <w:fldChar w:fldCharType="end"/>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4"/>
                  <w:szCs w:val="24"/>
                </w:rPr>
              </w:pPr>
              <w:r>
                <w:rPr>
                  <w:rFonts w:hint="default" w:ascii="Times New Roman" w:hAnsi="Times New Roman" w:eastAsia="仿宋" w:cs="Times New Roman"/>
                  <w:szCs w:val="24"/>
                </w:rPr>
                <w:fldChar w:fldCharType="end"/>
              </w:r>
            </w:p>
          </w:sdtContent>
        </w:sdt>
        <w:p>
          <w:pPr>
            <w:rPr>
              <w:rFonts w:hint="default" w:ascii="Times New Roman" w:hAnsi="Times New Roman" w:eastAsia="黑体" w:cs="Times New Roman"/>
              <w:kern w:val="0"/>
              <w:sz w:val="36"/>
              <w:szCs w:val="36"/>
            </w:rPr>
          </w:pPr>
        </w:p>
      </w:sdtContent>
    </w:sdt>
    <w:p>
      <w:pPr>
        <w:pStyle w:val="3"/>
        <w:bidi w:val="0"/>
        <w:jc w:val="center"/>
        <w:rPr>
          <w:rFonts w:hint="default"/>
          <w:sz w:val="36"/>
          <w:szCs w:val="52"/>
        </w:rPr>
      </w:pPr>
    </w:p>
    <w:p>
      <w:pPr>
        <w:pStyle w:val="3"/>
        <w:bidi w:val="0"/>
        <w:jc w:val="center"/>
        <w:rPr>
          <w:rFonts w:hint="default"/>
          <w:sz w:val="36"/>
          <w:szCs w:val="52"/>
        </w:rPr>
      </w:pPr>
    </w:p>
    <w:p>
      <w:pPr>
        <w:rPr>
          <w:rFonts w:hint="default"/>
          <w:sz w:val="36"/>
          <w:szCs w:val="52"/>
        </w:rPr>
      </w:pPr>
    </w:p>
    <w:p>
      <w:pPr>
        <w:pStyle w:val="3"/>
        <w:bidi w:val="0"/>
        <w:jc w:val="center"/>
        <w:rPr>
          <w:rFonts w:hint="default"/>
          <w:sz w:val="36"/>
          <w:szCs w:val="52"/>
        </w:rPr>
      </w:pPr>
    </w:p>
    <w:p>
      <w:pPr>
        <w:rPr>
          <w:rFonts w:hint="default"/>
          <w:sz w:val="36"/>
          <w:szCs w:val="52"/>
        </w:rPr>
      </w:pPr>
    </w:p>
    <w:p>
      <w:pPr>
        <w:pStyle w:val="2"/>
        <w:jc w:val="center"/>
        <w:rPr>
          <w:rFonts w:hint="eastAsia" w:ascii="Times New Roman" w:hAnsi="Times New Roman" w:eastAsia="仿宋_GB2312"/>
          <w:lang w:eastAsia="zh-CN"/>
        </w:rPr>
      </w:pPr>
      <w:r>
        <w:rPr>
          <w:rFonts w:hint="eastAsia" w:ascii="Times New Roman" w:hAnsi="Times New Roman" w:eastAsia="仿宋_GB2312"/>
          <w:lang w:eastAsia="zh-CN"/>
        </w:rPr>
        <w:drawing>
          <wp:inline distT="0" distB="0" distL="114300" distR="114300">
            <wp:extent cx="5039995" cy="7247255"/>
            <wp:effectExtent l="0" t="0" r="8255" b="10795"/>
            <wp:docPr id="8" name="图片 8"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Scan"/>
                    <pic:cNvPicPr>
                      <a:picLocks noChangeAspect="1"/>
                    </pic:cNvPicPr>
                  </pic:nvPicPr>
                  <pic:blipFill>
                    <a:blip r:embed="rId9"/>
                    <a:stretch>
                      <a:fillRect/>
                    </a:stretch>
                  </pic:blipFill>
                  <pic:spPr>
                    <a:xfrm>
                      <a:off x="0" y="0"/>
                      <a:ext cx="5039995" cy="7247255"/>
                    </a:xfrm>
                    <a:prstGeom prst="rect">
                      <a:avLst/>
                    </a:prstGeom>
                  </pic:spPr>
                </pic:pic>
              </a:graphicData>
            </a:graphic>
          </wp:inline>
        </w:drawing>
      </w:r>
    </w:p>
    <w:p>
      <w:pPr>
        <w:pStyle w:val="3"/>
        <w:bidi w:val="0"/>
        <w:jc w:val="center"/>
        <w:rPr>
          <w:rFonts w:hint="default"/>
          <w:sz w:val="36"/>
          <w:szCs w:val="52"/>
        </w:rPr>
      </w:pPr>
    </w:p>
    <w:p>
      <w:pPr>
        <w:keepNext w:val="0"/>
        <w:keepLines w:val="0"/>
        <w:pageBreakBefore w:val="0"/>
        <w:widowControl w:val="0"/>
        <w:kinsoku/>
        <w:wordWrap/>
        <w:overflowPunct/>
        <w:topLinePunct w:val="0"/>
        <w:autoSpaceDE/>
        <w:autoSpaceDN/>
        <w:bidi w:val="0"/>
        <w:adjustRightInd/>
        <w:snapToGrid w:val="0"/>
        <w:spacing w:before="312" w:beforeLines="100" w:after="312" w:afterLines="100" w:line="360" w:lineRule="auto"/>
        <w:jc w:val="center"/>
        <w:textAlignment w:val="auto"/>
        <w:outlineLvl w:val="0"/>
        <w:rPr>
          <w:rFonts w:hint="default" w:ascii="Times New Roman" w:hAnsi="Times New Roman" w:eastAsia="黑体" w:cs="Times New Roman"/>
          <w:kern w:val="0"/>
          <w:sz w:val="36"/>
          <w:szCs w:val="36"/>
          <w:lang w:eastAsia="zh-CN"/>
        </w:rPr>
      </w:pPr>
    </w:p>
    <w:p>
      <w:pPr>
        <w:pStyle w:val="3"/>
        <w:pageBreakBefore w:val="0"/>
        <w:kinsoku/>
        <w:wordWrap/>
        <w:overflowPunct/>
        <w:topLinePunct w:val="0"/>
        <w:autoSpaceDE/>
        <w:autoSpaceDN/>
        <w:bidi w:val="0"/>
        <w:snapToGrid/>
        <w:spacing w:line="560" w:lineRule="exact"/>
        <w:textAlignment w:val="auto"/>
        <w:rPr>
          <w:rFonts w:hint="default"/>
          <w:sz w:val="32"/>
          <w:szCs w:val="32"/>
          <w:lang w:val="en-US" w:eastAsia="zh-CN"/>
        </w:rPr>
      </w:pPr>
      <w:bookmarkStart w:id="1" w:name="_Toc9271"/>
      <w:r>
        <w:rPr>
          <w:rFonts w:hint="default"/>
          <w:sz w:val="32"/>
          <w:szCs w:val="32"/>
          <w:lang w:eastAsia="zh-CN"/>
        </w:rPr>
        <w:t>一、</w:t>
      </w:r>
      <w:r>
        <w:rPr>
          <w:rFonts w:hint="default"/>
          <w:sz w:val="32"/>
          <w:szCs w:val="32"/>
        </w:rPr>
        <w:t>办学</w:t>
      </w:r>
      <w:r>
        <w:rPr>
          <w:rFonts w:hint="default"/>
          <w:sz w:val="32"/>
          <w:szCs w:val="32"/>
          <w:lang w:eastAsia="zh-CN"/>
        </w:rPr>
        <w:t>基本情况</w:t>
      </w:r>
      <w:r>
        <w:rPr>
          <w:rFonts w:hint="default"/>
          <w:sz w:val="32"/>
          <w:szCs w:val="32"/>
        </w:rPr>
        <w:t>概述</w:t>
      </w:r>
      <w:bookmarkEnd w:id="1"/>
      <w:r>
        <w:rPr>
          <w:rFonts w:hint="default"/>
          <w:sz w:val="32"/>
          <w:szCs w:val="32"/>
          <w:lang w:val="en-US" w:eastAsia="zh-CN"/>
        </w:rPr>
        <w:t xml:space="preserve"> </w:t>
      </w:r>
    </w:p>
    <w:p>
      <w:pPr>
        <w:pageBreakBefore w:val="0"/>
        <w:kinsoku/>
        <w:wordWrap/>
        <w:overflowPunct/>
        <w:topLinePunct w:val="0"/>
        <w:autoSpaceDE/>
        <w:autoSpaceDN/>
        <w:bidi w:val="0"/>
        <w:snapToGrid/>
        <w:spacing w:line="560" w:lineRule="exact"/>
        <w:ind w:firstLine="640"/>
        <w:textAlignment w:val="auto"/>
        <w:rPr>
          <w:rFonts w:hint="eastAsia" w:ascii="仿宋" w:hAnsi="仿宋" w:eastAsia="仿宋" w:cs="仿宋"/>
          <w:b/>
          <w:bCs/>
          <w:color w:val="auto"/>
          <w:sz w:val="32"/>
          <w:szCs w:val="32"/>
          <w:lang w:eastAsia="zh-CN"/>
        </w:rPr>
      </w:pPr>
      <w:r>
        <w:rPr>
          <w:rFonts w:hint="eastAsia" w:ascii="仿宋" w:hAnsi="仿宋" w:eastAsia="仿宋" w:cs="仿宋"/>
          <w:sz w:val="32"/>
          <w:szCs w:val="32"/>
          <w:lang w:val="en-US" w:eastAsia="zh-CN"/>
        </w:rPr>
        <w:t>2021年，我校继续围绕“进一步明确办学定位，夯实教学基础，凸显办学特色，谋求跨越发展”的办学思路开展人才培养工作，紧扣“双高”建设重点任务，不断加强内涵建设，各项工作取得了显著成效。突出表现在：全日制在校生达2.08万余人，办学规模创历史新高；2021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录取新生8000余人，</w:t>
      </w:r>
      <w:r>
        <w:rPr>
          <w:rFonts w:hint="eastAsia" w:ascii="仿宋" w:hAnsi="仿宋" w:eastAsia="仿宋" w:cs="仿宋"/>
          <w:sz w:val="32"/>
          <w:szCs w:val="32"/>
        </w:rPr>
        <w:t>招生计划完成率达98.96%，其中，区内普高招生计划完成率达到100%。</w:t>
      </w:r>
      <w:r>
        <w:rPr>
          <w:rFonts w:hint="eastAsia" w:ascii="仿宋" w:hAnsi="仿宋" w:eastAsia="仿宋" w:cs="仿宋"/>
          <w:sz w:val="32"/>
          <w:szCs w:val="32"/>
          <w:lang w:val="en-US" w:eastAsia="zh-CN"/>
        </w:rPr>
        <w:t>连续第15年荣获“广西高校毕业生就业创业工作突出单位”荣誉称号，招生就业持续两旺；课程教学信息化改革不断深化，混合课程建设成效显著，获批自治区级职业教育在线精品课程2门、</w:t>
      </w:r>
      <w:r>
        <w:rPr>
          <w:rFonts w:hint="eastAsia" w:ascii="仿宋" w:hAnsi="仿宋" w:eastAsia="仿宋" w:cs="仿宋"/>
          <w:sz w:val="32"/>
          <w:szCs w:val="32"/>
        </w:rPr>
        <w:t>自治区级专业教学资源库1项</w:t>
      </w:r>
      <w:r>
        <w:rPr>
          <w:rFonts w:hint="eastAsia" w:ascii="仿宋" w:hAnsi="仿宋" w:eastAsia="仿宋" w:cs="仿宋"/>
          <w:sz w:val="32"/>
          <w:szCs w:val="32"/>
          <w:lang w:val="en-US" w:eastAsia="zh-CN"/>
        </w:rPr>
        <w:t>；人才培养质量全面提高，成功获批国家第三批12个1+X证书制度试点院校；成为英国国家学历学位评估认证中心20个国际专业认证试点单位之一；</w:t>
      </w:r>
      <w:r>
        <w:rPr>
          <w:rFonts w:hint="eastAsia" w:ascii="仿宋" w:hAnsi="仿宋" w:eastAsia="仿宋" w:cs="仿宋"/>
          <w:b w:val="0"/>
          <w:i w:val="0"/>
          <w:caps w:val="0"/>
          <w:spacing w:val="0"/>
          <w:w w:val="100"/>
          <w:sz w:val="32"/>
          <w:szCs w:val="32"/>
          <w:lang w:val="en-US" w:eastAsia="zh-CN"/>
        </w:rPr>
        <w:t>成功入选教育部第二批人工智能助推教师队伍建设行动试点高校；</w:t>
      </w:r>
      <w:r>
        <w:rPr>
          <w:rFonts w:hint="eastAsia" w:ascii="仿宋" w:hAnsi="仿宋" w:eastAsia="仿宋" w:cs="仿宋"/>
          <w:sz w:val="32"/>
          <w:szCs w:val="32"/>
          <w:lang w:val="en-US" w:eastAsia="zh-CN"/>
        </w:rPr>
        <w:t>我校牵头的广西建设职业教育集团成功入选全国第一批示范性职业教育集团（联盟）培育单位；继高端应用型本科人才联合培养试点项目、“2+3”中职与高职分段培养试点项目后，与桂林理工大学、广西大学行健文理学院开展联合培养人才；第三个专业群发展研究基地—市政工程技术专业群发展研究基地揭牌；推荐1617名优秀毕业生升入16所本科院校，升本人数及升入本科院校数均达到历史之最。</w:t>
      </w:r>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仿宋_GB2312" w:cs="Times New Roman"/>
          <w:color w:val="auto"/>
          <w:sz w:val="32"/>
          <w:szCs w:val="32"/>
          <w:highlight w:val="none"/>
          <w:lang w:val="en-US" w:eastAsia="zh-CN"/>
        </w:rPr>
      </w:pPr>
      <w:bookmarkStart w:id="2" w:name="_Toc13893"/>
      <w:bookmarkStart w:id="3" w:name="_Toc437380299"/>
      <w:bookmarkStart w:id="4" w:name="_Toc1157"/>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仿宋_GB2312" w:cs="Times New Roman"/>
          <w:color w:val="auto"/>
          <w:sz w:val="32"/>
          <w:szCs w:val="32"/>
          <w:highlight w:val="none"/>
          <w:lang w:val="en-US" w:eastAsia="zh-CN"/>
        </w:rPr>
      </w:pPr>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（一）办学条件</w:t>
      </w:r>
      <w:bookmarkEnd w:id="2"/>
      <w:bookmarkEnd w:id="3"/>
      <w:bookmarkEnd w:id="4"/>
    </w:p>
    <w:p>
      <w:pPr>
        <w:pageBreakBefore w:val="0"/>
        <w:kinsoku/>
        <w:wordWrap/>
        <w:overflowPunct/>
        <w:topLinePunct w:val="0"/>
        <w:bidi w:val="0"/>
        <w:spacing w:line="560" w:lineRule="exact"/>
        <w:ind w:left="0" w:leftChars="0" w:right="0" w:rightChars="0" w:firstLine="640"/>
        <w:textAlignment w:val="auto"/>
        <w:rPr>
          <w:rFonts w:hint="eastAsia" w:ascii="仿宋" w:hAnsi="仿宋" w:eastAsia="仿宋" w:cs="仿宋"/>
          <w:b/>
          <w:bCs/>
          <w:sz w:val="32"/>
          <w:szCs w:val="32"/>
          <w:lang w:val="en-US" w:eastAsia="zh-CN"/>
        </w:rPr>
      </w:pPr>
      <w:bookmarkStart w:id="5" w:name="_Toc8429"/>
      <w:r>
        <w:rPr>
          <w:rFonts w:hint="eastAsia" w:ascii="仿宋" w:hAnsi="仿宋" w:eastAsia="仿宋" w:cs="仿宋"/>
          <w:b/>
          <w:bCs/>
          <w:sz w:val="32"/>
          <w:szCs w:val="32"/>
          <w:lang w:val="en-US" w:eastAsia="zh-CN"/>
        </w:rPr>
        <w:t>1.办学基本条件</w:t>
      </w:r>
      <w:bookmarkEnd w:id="5"/>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仿宋" w:hAnsi="仿宋" w:eastAsia="仿宋" w:cs="仿宋"/>
          <w:b/>
          <w:bCs/>
          <w:sz w:val="32"/>
          <w:szCs w:val="32"/>
          <w:lang w:val="en-US" w:eastAsia="zh-CN"/>
        </w:rPr>
        <w:t>（1）教学用房</w:t>
      </w:r>
    </w:p>
    <w:p>
      <w:pPr>
        <w:pageBreakBefore w:val="0"/>
        <w:kinsoku/>
        <w:wordWrap/>
        <w:overflowPunct/>
        <w:topLinePunct w:val="0"/>
        <w:bidi w:val="0"/>
        <w:spacing w:line="560" w:lineRule="exact"/>
        <w:ind w:left="0" w:leftChars="0" w:right="0" w:rightChars="0"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学校总占地面积998,5</w:t>
      </w:r>
      <w:r>
        <w:rPr>
          <w:rFonts w:hint="eastAsia" w:ascii="仿宋" w:hAnsi="仿宋" w:eastAsia="仿宋" w:cs="仿宋"/>
          <w:sz w:val="32"/>
          <w:szCs w:val="32"/>
          <w:lang w:eastAsia="zh-CN"/>
        </w:rPr>
        <w:t>50.13平方米，校舍总建筑面积</w:t>
      </w:r>
      <w:r>
        <w:rPr>
          <w:rFonts w:hint="eastAsia" w:ascii="仿宋" w:hAnsi="仿宋" w:eastAsia="仿宋" w:cs="仿宋"/>
          <w:sz w:val="32"/>
          <w:szCs w:val="32"/>
          <w:lang w:val="en-US" w:eastAsia="zh-CN"/>
        </w:rPr>
        <w:t>360,666.64</w:t>
      </w:r>
      <w:r>
        <w:rPr>
          <w:rFonts w:hint="eastAsia" w:ascii="仿宋" w:hAnsi="仿宋" w:eastAsia="仿宋" w:cs="仿宋"/>
          <w:sz w:val="32"/>
          <w:szCs w:val="32"/>
          <w:lang w:eastAsia="zh-CN"/>
        </w:rPr>
        <w:t>平方米，</w:t>
      </w:r>
      <w:r>
        <w:rPr>
          <w:rFonts w:hint="eastAsia" w:ascii="仿宋" w:hAnsi="仿宋" w:eastAsia="仿宋" w:cs="仿宋"/>
          <w:sz w:val="32"/>
          <w:szCs w:val="32"/>
          <w:lang w:val="en-US" w:eastAsia="zh-CN"/>
        </w:rPr>
        <w:t>正在施工校舍建筑面积81,066.49</w:t>
      </w:r>
      <w:r>
        <w:rPr>
          <w:rFonts w:hint="eastAsia" w:ascii="仿宋" w:hAnsi="仿宋" w:eastAsia="仿宋" w:cs="仿宋"/>
          <w:sz w:val="32"/>
          <w:szCs w:val="32"/>
          <w:lang w:eastAsia="zh-CN"/>
        </w:rPr>
        <w:t>，教学科研及辅助用房面积</w:t>
      </w:r>
      <w:r>
        <w:rPr>
          <w:rFonts w:hint="eastAsia" w:ascii="仿宋" w:hAnsi="仿宋" w:eastAsia="仿宋" w:cs="仿宋"/>
          <w:sz w:val="32"/>
          <w:szCs w:val="32"/>
        </w:rPr>
        <w:t>184,951.62</w:t>
      </w:r>
      <w:r>
        <w:rPr>
          <w:rFonts w:hint="eastAsia" w:ascii="仿宋" w:hAnsi="仿宋" w:eastAsia="仿宋" w:cs="仿宋"/>
          <w:sz w:val="32"/>
          <w:szCs w:val="32"/>
          <w:lang w:eastAsia="zh-CN"/>
        </w:rPr>
        <w:t>平方米，其中</w:t>
      </w:r>
      <w:r>
        <w:rPr>
          <w:rFonts w:hint="eastAsia" w:ascii="仿宋" w:hAnsi="仿宋" w:eastAsia="仿宋" w:cs="仿宋"/>
          <w:sz w:val="32"/>
          <w:szCs w:val="32"/>
        </w:rPr>
        <w:t>教室面积58,279.78</w:t>
      </w:r>
      <w:r>
        <w:rPr>
          <w:rFonts w:hint="eastAsia" w:ascii="仿宋" w:hAnsi="仿宋" w:eastAsia="仿宋" w:cs="仿宋"/>
          <w:sz w:val="32"/>
          <w:szCs w:val="32"/>
          <w:lang w:eastAsia="zh-CN"/>
        </w:rPr>
        <w:t>平方米、</w:t>
      </w:r>
      <w:r>
        <w:rPr>
          <w:rFonts w:hint="eastAsia" w:ascii="仿宋" w:hAnsi="仿宋" w:eastAsia="仿宋" w:cs="仿宋"/>
          <w:sz w:val="32"/>
          <w:szCs w:val="32"/>
        </w:rPr>
        <w:t>图书馆</w:t>
      </w:r>
      <w:r>
        <w:rPr>
          <w:rFonts w:hint="eastAsia" w:ascii="仿宋" w:hAnsi="仿宋" w:eastAsia="仿宋" w:cs="仿宋"/>
          <w:sz w:val="32"/>
          <w:szCs w:val="32"/>
          <w:lang w:eastAsia="zh-CN"/>
        </w:rPr>
        <w:t>面积</w:t>
      </w:r>
      <w:r>
        <w:rPr>
          <w:rFonts w:hint="eastAsia" w:ascii="仿宋" w:hAnsi="仿宋" w:eastAsia="仿宋" w:cs="仿宋"/>
          <w:sz w:val="32"/>
          <w:szCs w:val="32"/>
        </w:rPr>
        <w:t>26,062.25</w:t>
      </w:r>
      <w:r>
        <w:rPr>
          <w:rFonts w:hint="eastAsia" w:ascii="仿宋" w:hAnsi="仿宋" w:eastAsia="仿宋" w:cs="仿宋"/>
          <w:sz w:val="32"/>
          <w:szCs w:val="32"/>
          <w:lang w:eastAsia="zh-CN"/>
        </w:rPr>
        <w:t>平方米、</w:t>
      </w:r>
      <w:r>
        <w:rPr>
          <w:rFonts w:hint="eastAsia" w:ascii="仿宋" w:hAnsi="仿宋" w:eastAsia="仿宋" w:cs="仿宋"/>
          <w:sz w:val="32"/>
          <w:szCs w:val="32"/>
        </w:rPr>
        <w:t>实验</w:t>
      </w:r>
      <w:r>
        <w:rPr>
          <w:rFonts w:hint="eastAsia" w:ascii="仿宋" w:hAnsi="仿宋" w:eastAsia="仿宋" w:cs="仿宋"/>
          <w:sz w:val="32"/>
          <w:szCs w:val="32"/>
          <w:lang w:val="en-US" w:eastAsia="zh-CN"/>
        </w:rPr>
        <w:t>室、</w:t>
      </w:r>
      <w:r>
        <w:rPr>
          <w:rFonts w:hint="eastAsia" w:ascii="仿宋" w:hAnsi="仿宋" w:eastAsia="仿宋" w:cs="仿宋"/>
          <w:sz w:val="32"/>
          <w:szCs w:val="32"/>
        </w:rPr>
        <w:t>实习场所</w:t>
      </w:r>
      <w:r>
        <w:rPr>
          <w:rFonts w:hint="eastAsia" w:ascii="仿宋" w:hAnsi="仿宋" w:eastAsia="仿宋" w:cs="仿宋"/>
          <w:sz w:val="32"/>
          <w:szCs w:val="32"/>
          <w:lang w:val="en-US" w:eastAsia="zh-CN"/>
        </w:rPr>
        <w:t>90,984.25</w:t>
      </w:r>
      <w:r>
        <w:rPr>
          <w:rFonts w:hint="eastAsia" w:ascii="仿宋" w:hAnsi="仿宋" w:eastAsia="仿宋" w:cs="仿宋"/>
          <w:sz w:val="32"/>
          <w:szCs w:val="32"/>
          <w:lang w:eastAsia="zh-CN"/>
        </w:rPr>
        <w:t>平方米、</w:t>
      </w:r>
      <w:r>
        <w:rPr>
          <w:rFonts w:hint="eastAsia" w:ascii="仿宋" w:hAnsi="仿宋" w:eastAsia="仿宋" w:cs="仿宋"/>
          <w:sz w:val="32"/>
          <w:szCs w:val="32"/>
          <w:lang w:val="en-US" w:eastAsia="zh-CN"/>
        </w:rPr>
        <w:t>体育馆</w:t>
      </w:r>
      <w:r>
        <w:rPr>
          <w:rFonts w:hint="eastAsia" w:ascii="仿宋" w:hAnsi="仿宋" w:eastAsia="仿宋" w:cs="仿宋"/>
          <w:sz w:val="32"/>
          <w:szCs w:val="32"/>
        </w:rPr>
        <w:t>9,625.34</w:t>
      </w:r>
      <w:r>
        <w:rPr>
          <w:rFonts w:hint="eastAsia" w:ascii="仿宋" w:hAnsi="仿宋" w:eastAsia="仿宋" w:cs="仿宋"/>
          <w:sz w:val="32"/>
          <w:szCs w:val="32"/>
          <w:lang w:eastAsia="zh-CN"/>
        </w:rPr>
        <w:t>平方米；</w:t>
      </w:r>
      <w:r>
        <w:rPr>
          <w:rFonts w:hint="eastAsia" w:ascii="仿宋" w:hAnsi="仿宋" w:eastAsia="仿宋" w:cs="仿宋"/>
          <w:sz w:val="32"/>
          <w:szCs w:val="32"/>
        </w:rPr>
        <w:t>行政办公用房36,110.01</w:t>
      </w:r>
      <w:r>
        <w:rPr>
          <w:rFonts w:hint="eastAsia" w:ascii="仿宋" w:hAnsi="仿宋" w:eastAsia="仿宋" w:cs="仿宋"/>
          <w:sz w:val="32"/>
          <w:szCs w:val="32"/>
          <w:lang w:eastAsia="zh-CN"/>
        </w:rPr>
        <w:t>平方米；</w:t>
      </w:r>
      <w:r>
        <w:rPr>
          <w:rFonts w:hint="eastAsia" w:ascii="仿宋" w:hAnsi="仿宋" w:eastAsia="仿宋" w:cs="仿宋"/>
          <w:sz w:val="32"/>
          <w:szCs w:val="32"/>
        </w:rPr>
        <w:t>生活用房185,147.95</w:t>
      </w:r>
      <w:r>
        <w:rPr>
          <w:rFonts w:hint="eastAsia" w:ascii="仿宋" w:hAnsi="仿宋" w:eastAsia="仿宋" w:cs="仿宋"/>
          <w:sz w:val="32"/>
          <w:szCs w:val="32"/>
          <w:lang w:eastAsia="zh-CN"/>
        </w:rPr>
        <w:t>平方米，</w:t>
      </w:r>
      <w:r>
        <w:rPr>
          <w:rFonts w:hint="eastAsia" w:ascii="仿宋" w:hAnsi="仿宋" w:eastAsia="仿宋" w:cs="仿宋"/>
          <w:sz w:val="32"/>
          <w:szCs w:val="32"/>
          <w:lang w:val="en-US" w:eastAsia="zh-CN"/>
        </w:rPr>
        <w:t>其中学生宿舍面积120,923.77</w:t>
      </w:r>
      <w:r>
        <w:rPr>
          <w:rFonts w:hint="eastAsia" w:ascii="仿宋" w:hAnsi="仿宋" w:eastAsia="仿宋" w:cs="仿宋"/>
          <w:sz w:val="32"/>
          <w:szCs w:val="32"/>
          <w:lang w:eastAsia="zh-CN"/>
        </w:rPr>
        <w:t>平方米</w:t>
      </w:r>
      <w:r>
        <w:rPr>
          <w:rFonts w:hint="eastAsia" w:ascii="仿宋" w:hAnsi="仿宋" w:eastAsia="仿宋" w:cs="仿宋"/>
          <w:sz w:val="32"/>
          <w:szCs w:val="32"/>
          <w:lang w:val="en-US"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eastAsia="zh-CN"/>
        </w:rPr>
        <w:t>学校</w:t>
      </w:r>
      <w:r>
        <w:rPr>
          <w:rFonts w:hint="eastAsia" w:ascii="仿宋" w:hAnsi="仿宋" w:eastAsia="仿宋" w:cs="仿宋"/>
          <w:sz w:val="32"/>
          <w:szCs w:val="32"/>
        </w:rPr>
        <w:t>生均占地面积为</w:t>
      </w:r>
      <w:r>
        <w:rPr>
          <w:rFonts w:hint="eastAsia" w:ascii="仿宋" w:hAnsi="仿宋" w:eastAsia="仿宋" w:cs="仿宋"/>
          <w:sz w:val="32"/>
          <w:szCs w:val="32"/>
          <w:lang w:val="en-US" w:eastAsia="zh-CN"/>
        </w:rPr>
        <w:t>48.79</w:t>
      </w:r>
      <w:r>
        <w:rPr>
          <w:rFonts w:hint="eastAsia" w:ascii="仿宋" w:hAnsi="仿宋" w:eastAsia="仿宋" w:cs="仿宋"/>
          <w:sz w:val="32"/>
          <w:szCs w:val="32"/>
        </w:rPr>
        <w:t>平方米，生均教学行政用房面积为</w:t>
      </w:r>
      <w:r>
        <w:rPr>
          <w:rFonts w:hint="eastAsia" w:ascii="仿宋" w:hAnsi="仿宋" w:eastAsia="仿宋" w:cs="仿宋"/>
          <w:sz w:val="32"/>
          <w:szCs w:val="32"/>
          <w:lang w:val="en-US" w:eastAsia="zh-CN"/>
        </w:rPr>
        <w:t>10.8</w:t>
      </w:r>
      <w:r>
        <w:rPr>
          <w:rFonts w:hint="eastAsia" w:ascii="仿宋" w:hAnsi="仿宋" w:eastAsia="仿宋" w:cs="仿宋"/>
          <w:sz w:val="32"/>
          <w:szCs w:val="32"/>
        </w:rPr>
        <w:t>平方米，</w:t>
      </w:r>
      <w:r>
        <w:rPr>
          <w:rFonts w:hint="eastAsia" w:ascii="仿宋" w:hAnsi="仿宋" w:eastAsia="仿宋" w:cs="仿宋"/>
          <w:sz w:val="32"/>
          <w:szCs w:val="32"/>
          <w:lang w:eastAsia="zh-CN"/>
        </w:rPr>
        <w:t>生均宿舍面积</w:t>
      </w:r>
      <w:r>
        <w:rPr>
          <w:rFonts w:hint="eastAsia" w:ascii="仿宋" w:hAnsi="仿宋" w:eastAsia="仿宋" w:cs="仿宋"/>
          <w:sz w:val="32"/>
          <w:szCs w:val="32"/>
          <w:lang w:val="en-US" w:eastAsia="zh-CN"/>
        </w:rPr>
        <w:t>5.91</w:t>
      </w:r>
      <w:r>
        <w:rPr>
          <w:rFonts w:hint="eastAsia" w:ascii="仿宋" w:hAnsi="仿宋" w:eastAsia="仿宋" w:cs="仿宋"/>
          <w:sz w:val="32"/>
          <w:szCs w:val="32"/>
        </w:rPr>
        <w:t>平方米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生均实践场所4.45</w:t>
      </w:r>
      <w:r>
        <w:rPr>
          <w:rFonts w:hint="eastAsia" w:ascii="仿宋" w:hAnsi="仿宋" w:eastAsia="仿宋" w:cs="仿宋"/>
          <w:sz w:val="32"/>
          <w:szCs w:val="32"/>
        </w:rPr>
        <w:t>平方米。</w:t>
      </w:r>
    </w:p>
    <w:p>
      <w:pPr>
        <w:pStyle w:val="11"/>
        <w:pageBreakBefore w:val="0"/>
        <w:widowControl w:val="0"/>
        <w:numPr>
          <w:ilvl w:val="0"/>
          <w:numId w:val="0"/>
        </w:numPr>
        <w:kinsoku/>
        <w:wordWrap/>
        <w:overflowPunct/>
        <w:topLinePunct w:val="0"/>
        <w:autoSpaceDE/>
        <w:autoSpaceDN/>
        <w:bidi w:val="0"/>
        <w:adjustRightInd w:val="0"/>
        <w:snapToGrid/>
        <w:spacing w:before="0" w:beforeAutospacing="0" w:after="0" w:afterAutospacing="0" w:line="560" w:lineRule="exact"/>
        <w:ind w:right="0" w:rightChars="0" w:firstLine="321" w:firstLineChars="100"/>
        <w:jc w:val="both"/>
        <w:textAlignment w:val="auto"/>
        <w:rPr>
          <w:rFonts w:hint="eastAsia" w:ascii="仿宋" w:hAnsi="仿宋" w:eastAsia="仿宋" w:cs="仿宋"/>
          <w:b/>
          <w:bCs/>
          <w:kern w:val="2"/>
          <w:sz w:val="32"/>
          <w:szCs w:val="32"/>
        </w:rPr>
      </w:pPr>
      <w:r>
        <w:rPr>
          <w:rFonts w:hint="eastAsia" w:ascii="仿宋" w:hAnsi="仿宋" w:eastAsia="仿宋" w:cs="仿宋"/>
          <w:b/>
          <w:bCs/>
          <w:kern w:val="2"/>
          <w:sz w:val="32"/>
          <w:szCs w:val="32"/>
          <w:lang w:eastAsia="zh-CN"/>
        </w:rPr>
        <w:t>（</w:t>
      </w:r>
      <w:r>
        <w:rPr>
          <w:rFonts w:hint="eastAsia" w:ascii="仿宋" w:hAnsi="仿宋" w:eastAsia="仿宋" w:cs="仿宋"/>
          <w:b/>
          <w:bCs/>
          <w:kern w:val="2"/>
          <w:sz w:val="32"/>
          <w:szCs w:val="32"/>
          <w:lang w:val="en-US" w:eastAsia="zh-CN"/>
        </w:rPr>
        <w:t>2</w:t>
      </w:r>
      <w:r>
        <w:rPr>
          <w:rFonts w:hint="eastAsia" w:ascii="仿宋" w:hAnsi="仿宋" w:eastAsia="仿宋" w:cs="仿宋"/>
          <w:b/>
          <w:bCs/>
          <w:kern w:val="2"/>
          <w:sz w:val="32"/>
          <w:szCs w:val="32"/>
          <w:lang w:eastAsia="zh-CN"/>
        </w:rPr>
        <w:t>）</w:t>
      </w:r>
      <w:r>
        <w:rPr>
          <w:rFonts w:hint="eastAsia" w:ascii="仿宋" w:hAnsi="仿宋" w:eastAsia="仿宋" w:cs="仿宋"/>
          <w:b/>
          <w:bCs/>
          <w:kern w:val="2"/>
          <w:sz w:val="32"/>
          <w:szCs w:val="32"/>
        </w:rPr>
        <w:t>图书资源</w:t>
      </w:r>
    </w:p>
    <w:p>
      <w:pPr>
        <w:pageBreakBefore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b w:val="0"/>
          <w:bCs w:val="0"/>
          <w:kern w:val="2"/>
          <w:sz w:val="32"/>
          <w:szCs w:val="32"/>
          <w:lang w:eastAsia="zh-CN"/>
        </w:rPr>
      </w:pPr>
      <w:r>
        <w:rPr>
          <w:rFonts w:hint="eastAsia" w:ascii="仿宋" w:hAnsi="仿宋" w:eastAsia="仿宋" w:cs="仿宋"/>
          <w:kern w:val="2"/>
          <w:sz w:val="32"/>
          <w:szCs w:val="32"/>
        </w:rPr>
        <w:t>我校图书资源类型多样，专业资源丰富，行业规范、标准、定额等专业资料齐全。目前，生均纸质图书</w:t>
      </w:r>
      <w:r>
        <w:rPr>
          <w:rFonts w:hint="eastAsia" w:ascii="仿宋" w:hAnsi="仿宋" w:eastAsia="仿宋" w:cs="仿宋"/>
          <w:kern w:val="2"/>
          <w:sz w:val="32"/>
          <w:szCs w:val="32"/>
          <w:lang w:val="en-US" w:eastAsia="zh-CN"/>
        </w:rPr>
        <w:t>33.83</w:t>
      </w:r>
      <w:r>
        <w:rPr>
          <w:rFonts w:hint="eastAsia" w:ascii="仿宋" w:hAnsi="仿宋" w:eastAsia="仿宋" w:cs="仿宋"/>
          <w:kern w:val="2"/>
          <w:sz w:val="32"/>
          <w:szCs w:val="32"/>
        </w:rPr>
        <w:t>册，</w:t>
      </w:r>
      <w:r>
        <w:rPr>
          <w:rFonts w:hint="eastAsia" w:ascii="仿宋" w:hAnsi="仿宋" w:eastAsia="仿宋" w:cs="仿宋"/>
          <w:kern w:val="2"/>
          <w:sz w:val="32"/>
          <w:szCs w:val="32"/>
          <w:lang w:val="en-US" w:eastAsia="zh-CN"/>
        </w:rPr>
        <w:t>生均</w:t>
      </w:r>
      <w:r>
        <w:rPr>
          <w:rFonts w:hint="eastAsia" w:ascii="仿宋" w:hAnsi="仿宋" w:eastAsia="仿宋" w:cs="仿宋"/>
          <w:kern w:val="2"/>
          <w:sz w:val="32"/>
          <w:szCs w:val="32"/>
        </w:rPr>
        <w:t>年进书</w:t>
      </w:r>
      <w:r>
        <w:rPr>
          <w:rFonts w:hint="eastAsia" w:ascii="仿宋" w:hAnsi="仿宋" w:eastAsia="仿宋" w:cs="仿宋"/>
          <w:kern w:val="2"/>
          <w:sz w:val="32"/>
          <w:szCs w:val="32"/>
          <w:lang w:val="en-US" w:eastAsia="zh-CN"/>
        </w:rPr>
        <w:t>2.25</w:t>
      </w:r>
      <w:r>
        <w:rPr>
          <w:rFonts w:hint="eastAsia" w:ascii="仿宋" w:hAnsi="仿宋" w:eastAsia="仿宋" w:cs="仿宋"/>
          <w:kern w:val="2"/>
          <w:sz w:val="32"/>
          <w:szCs w:val="32"/>
        </w:rPr>
        <w:t>册。馆藏电子图书总量115.65万册，专业期刊11118种。图书馆的专业图书总量达到了42万册，占馆藏总量的60%。引进数据库资源5个：中国知网系列数据库、超星移动图书馆、百度文库、中国知网论文检测、万方标准数据库。自建机构库1个，馆内电子资源总量3900GB。形成了以建筑类学科为主，各种载体互补的文献资源体系，为我校教学和科研提供了丰富的文献资源保障。开设24小时开放图书馆网络资源服务，所有阅览室的开放时间达到90小时/周以上。全年图书馆共计借还书刊43182册次，各阅览室接待读者人数达到94678人次，电子资源的下载量为44929篇，</w:t>
      </w:r>
      <w:r>
        <w:rPr>
          <w:rFonts w:hint="eastAsia" w:ascii="仿宋" w:hAnsi="仿宋" w:eastAsia="仿宋" w:cs="仿宋"/>
          <w:sz w:val="32"/>
          <w:szCs w:val="32"/>
        </w:rPr>
        <w:t>另有350台电子阅读器Kindle供教职工阅读使用。</w:t>
      </w:r>
    </w:p>
    <w:p>
      <w:pPr>
        <w:pStyle w:val="11"/>
        <w:pageBreakBefore w:val="0"/>
        <w:widowControl w:val="0"/>
        <w:numPr>
          <w:ilvl w:val="0"/>
          <w:numId w:val="0"/>
        </w:numPr>
        <w:kinsoku/>
        <w:wordWrap/>
        <w:overflowPunct/>
        <w:topLinePunct w:val="0"/>
        <w:autoSpaceDE/>
        <w:autoSpaceDN/>
        <w:bidi w:val="0"/>
        <w:adjustRightInd w:val="0"/>
        <w:snapToGrid/>
        <w:spacing w:before="0" w:beforeAutospacing="0" w:after="0" w:afterAutospacing="0" w:line="560" w:lineRule="exact"/>
        <w:ind w:right="0" w:rightChars="0" w:firstLine="321" w:firstLineChars="1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eastAsia="zh-CN"/>
        </w:rPr>
        <w:t>（</w:t>
      </w:r>
      <w:r>
        <w:rPr>
          <w:rFonts w:hint="eastAsia" w:ascii="仿宋" w:hAnsi="仿宋" w:eastAsia="仿宋" w:cs="仿宋"/>
          <w:b/>
          <w:bCs/>
          <w:kern w:val="2"/>
          <w:sz w:val="32"/>
          <w:szCs w:val="32"/>
          <w:lang w:val="en-US" w:eastAsia="zh-CN"/>
        </w:rPr>
        <w:t>3</w:t>
      </w:r>
      <w:r>
        <w:rPr>
          <w:rFonts w:hint="eastAsia" w:ascii="仿宋" w:hAnsi="仿宋" w:eastAsia="仿宋" w:cs="仿宋"/>
          <w:b/>
          <w:bCs/>
          <w:kern w:val="2"/>
          <w:sz w:val="32"/>
          <w:szCs w:val="32"/>
          <w:lang w:eastAsia="zh-CN"/>
        </w:rPr>
        <w:t>）</w:t>
      </w:r>
      <w:r>
        <w:rPr>
          <w:rFonts w:hint="eastAsia" w:ascii="仿宋" w:hAnsi="仿宋" w:eastAsia="仿宋" w:cs="仿宋"/>
          <w:b/>
          <w:bCs/>
          <w:kern w:val="2"/>
          <w:sz w:val="32"/>
          <w:szCs w:val="32"/>
        </w:rPr>
        <w:t>信息资源及其应用情况</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rPr>
        <w:t>我校已建成高速稳定的新一代校园网，校园网主干最大带宽</w:t>
      </w:r>
      <w:r>
        <w:rPr>
          <w:rFonts w:hint="eastAsia" w:ascii="仿宋" w:hAnsi="仿宋" w:eastAsia="仿宋" w:cs="仿宋"/>
          <w:kern w:val="2"/>
          <w:sz w:val="32"/>
          <w:szCs w:val="32"/>
          <w:lang w:val="en-US" w:eastAsia="zh-CN"/>
        </w:rPr>
        <w:t>10000</w:t>
      </w:r>
      <w:r>
        <w:rPr>
          <w:rFonts w:hint="eastAsia" w:ascii="仿宋" w:hAnsi="仿宋" w:eastAsia="仿宋" w:cs="仿宋"/>
          <w:kern w:val="2"/>
          <w:sz w:val="32"/>
          <w:szCs w:val="32"/>
        </w:rPr>
        <w:t>（</w:t>
      </w:r>
      <w:r>
        <w:rPr>
          <w:rFonts w:hint="eastAsia" w:ascii="仿宋" w:hAnsi="仿宋" w:eastAsia="仿宋" w:cs="仿宋"/>
          <w:kern w:val="2"/>
          <w:sz w:val="32"/>
          <w:szCs w:val="32"/>
          <w:lang w:eastAsia="zh-CN"/>
        </w:rPr>
        <w:t>M bps</w:t>
      </w:r>
      <w:r>
        <w:rPr>
          <w:rFonts w:hint="eastAsia" w:ascii="仿宋" w:hAnsi="仿宋" w:eastAsia="仿宋" w:cs="仿宋"/>
          <w:kern w:val="2"/>
          <w:sz w:val="32"/>
          <w:szCs w:val="32"/>
        </w:rPr>
        <w:t>），学生上网出口带宽达10G</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管理信息系统数据总量</w:t>
      </w:r>
      <w:r>
        <w:rPr>
          <w:rFonts w:hint="eastAsia" w:ascii="仿宋" w:hAnsi="仿宋" w:eastAsia="仿宋" w:cs="仿宋"/>
          <w:kern w:val="2"/>
          <w:sz w:val="32"/>
          <w:szCs w:val="32"/>
          <w:lang w:val="en-US" w:eastAsia="zh-CN"/>
        </w:rPr>
        <w:t>1500GB</w:t>
      </w:r>
      <w:r>
        <w:rPr>
          <w:rFonts w:hint="eastAsia" w:ascii="仿宋" w:hAnsi="仿宋" w:eastAsia="仿宋" w:cs="仿宋"/>
          <w:kern w:val="2"/>
          <w:sz w:val="32"/>
          <w:szCs w:val="32"/>
        </w:rPr>
        <w:t>；全校共</w:t>
      </w:r>
      <w:r>
        <w:rPr>
          <w:rFonts w:hint="eastAsia" w:ascii="仿宋" w:hAnsi="仿宋" w:eastAsia="仿宋" w:cs="仿宋"/>
          <w:kern w:val="2"/>
          <w:sz w:val="32"/>
          <w:szCs w:val="32"/>
          <w:lang w:val="en-US" w:eastAsia="zh-CN"/>
        </w:rPr>
        <w:t>9500</w:t>
      </w:r>
      <w:r>
        <w:rPr>
          <w:rFonts w:hint="eastAsia" w:ascii="仿宋" w:hAnsi="仿宋" w:eastAsia="仿宋" w:cs="仿宋"/>
          <w:kern w:val="2"/>
          <w:sz w:val="32"/>
          <w:szCs w:val="32"/>
        </w:rPr>
        <w:t>个有线网络信息点，</w:t>
      </w:r>
      <w:r>
        <w:rPr>
          <w:rFonts w:hint="eastAsia" w:ascii="仿宋" w:hAnsi="仿宋" w:eastAsia="仿宋" w:cs="仿宋"/>
          <w:kern w:val="2"/>
          <w:sz w:val="32"/>
          <w:szCs w:val="32"/>
          <w:lang w:eastAsia="zh-CN"/>
        </w:rPr>
        <w:t>其中无线接口</w:t>
      </w:r>
      <w:r>
        <w:rPr>
          <w:rFonts w:hint="eastAsia" w:ascii="仿宋" w:hAnsi="仿宋" w:eastAsia="仿宋" w:cs="仿宋"/>
          <w:kern w:val="2"/>
          <w:sz w:val="32"/>
          <w:szCs w:val="32"/>
          <w:lang w:val="en-US" w:eastAsia="zh-CN"/>
        </w:rPr>
        <w:t>530个，</w:t>
      </w:r>
      <w:r>
        <w:rPr>
          <w:rFonts w:hint="eastAsia" w:ascii="仿宋" w:hAnsi="仿宋" w:eastAsia="仿宋" w:cs="仿宋"/>
          <w:kern w:val="2"/>
          <w:sz w:val="32"/>
          <w:szCs w:val="32"/>
        </w:rPr>
        <w:t>同时实现了对教学楼、实训楼、办公楼、会议室、运动场等主要场所无线覆盖。建有上网行为管理、防火墙、流量控制、日志审记、VPN等多种网络安全设施来保证网络的安全规划使用，已实现对信息系统的二级等级保护；业务系统丰富，建设了行政办公OA、教务、人事、财务、学工、图书馆、一卡通、科研、资产等业务管理系统，基本实现了无纸化办公。建成了数字校园平台，实现统一身份认</w:t>
      </w:r>
      <w:r>
        <w:rPr>
          <w:rFonts w:hint="eastAsia" w:ascii="仿宋" w:hAnsi="仿宋" w:eastAsia="仿宋" w:cs="仿宋"/>
          <w:sz w:val="32"/>
          <w:szCs w:val="32"/>
          <w:lang w:val="en-US" w:eastAsia="zh-CN"/>
        </w:rPr>
        <w:t>证和统一数据库，初步消除数据孤岛和数据不一致。</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sz w:val="32"/>
          <w:szCs w:val="32"/>
          <w:lang w:val="en-US" w:eastAsia="zh-CN"/>
        </w:rPr>
      </w:pPr>
      <w:bookmarkStart w:id="6" w:name="_Toc29421"/>
      <w:r>
        <w:rPr>
          <w:rFonts w:hint="eastAsia" w:ascii="仿宋" w:hAnsi="仿宋" w:eastAsia="仿宋" w:cs="仿宋"/>
          <w:b/>
          <w:bCs/>
          <w:sz w:val="32"/>
          <w:szCs w:val="32"/>
          <w:lang w:val="en-US" w:eastAsia="zh-CN"/>
        </w:rPr>
        <w:t>2.实践教学条件</w:t>
      </w:r>
      <w:bookmarkEnd w:id="6"/>
    </w:p>
    <w:p>
      <w:pPr>
        <w:pageBreakBefore w:val="0"/>
        <w:kinsoku/>
        <w:wordWrap/>
        <w:overflowPunct/>
        <w:topLinePunct w:val="0"/>
        <w:bidi w:val="0"/>
        <w:spacing w:line="560" w:lineRule="exact"/>
        <w:ind w:left="0" w:leftChars="0" w:right="0" w:rightChars="0" w:firstLine="321" w:firstLineChars="1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（1）教学仪器设备</w:t>
      </w:r>
    </w:p>
    <w:p>
      <w:pPr>
        <w:pageBreakBefore w:val="0"/>
        <w:kinsoku/>
        <w:wordWrap/>
        <w:overflowPunct/>
        <w:topLinePunct w:val="0"/>
        <w:bidi w:val="0"/>
        <w:spacing w:line="560" w:lineRule="exact"/>
        <w:ind w:left="0" w:leftChars="0" w:right="0" w:rightChars="0" w:firstLine="640" w:firstLineChars="200"/>
        <w:textAlignment w:val="auto"/>
        <w:rPr>
          <w:rFonts w:hint="eastAsia" w:ascii="仿宋" w:hAnsi="仿宋" w:eastAsia="仿宋" w:cs="仿宋"/>
          <w:b w:val="0"/>
          <w:bCs w:val="0"/>
          <w:kern w:val="2"/>
          <w:sz w:val="32"/>
          <w:szCs w:val="32"/>
          <w:lang w:val="en-US" w:eastAsia="zh-CN"/>
        </w:rPr>
      </w:pPr>
      <w:r>
        <w:rPr>
          <w:rFonts w:hint="eastAsia" w:ascii="仿宋" w:hAnsi="仿宋" w:eastAsia="仿宋" w:cs="仿宋"/>
          <w:sz w:val="32"/>
          <w:szCs w:val="32"/>
          <w:lang w:val="en-US" w:eastAsia="zh-CN"/>
        </w:rPr>
        <w:t>截至2021年8月31</w:t>
      </w:r>
      <w:r>
        <w:rPr>
          <w:rFonts w:hint="eastAsia" w:ascii="仿宋" w:hAnsi="仿宋" w:eastAsia="仿宋" w:cs="仿宋"/>
          <w:sz w:val="32"/>
          <w:szCs w:val="32"/>
          <w:lang w:eastAsia="zh-CN"/>
        </w:rPr>
        <w:t>日，</w:t>
      </w:r>
      <w:r>
        <w:rPr>
          <w:rFonts w:hint="eastAsia" w:ascii="仿宋" w:hAnsi="仿宋" w:eastAsia="仿宋" w:cs="仿宋"/>
          <w:b w:val="0"/>
          <w:bCs w:val="0"/>
          <w:kern w:val="2"/>
          <w:sz w:val="32"/>
          <w:szCs w:val="32"/>
        </w:rPr>
        <w:t>我校教学科研仪器设备价值19,409.28万元，生均教学科研仪器设备值</w:t>
      </w:r>
      <w:r>
        <w:rPr>
          <w:rFonts w:hint="eastAsia" w:ascii="仿宋" w:hAnsi="仿宋" w:eastAsia="仿宋" w:cs="仿宋"/>
          <w:b w:val="0"/>
          <w:bCs w:val="0"/>
          <w:kern w:val="2"/>
          <w:sz w:val="32"/>
          <w:szCs w:val="32"/>
          <w:lang w:val="en-US" w:eastAsia="zh-CN"/>
        </w:rPr>
        <w:t>9483.67</w:t>
      </w:r>
      <w:r>
        <w:rPr>
          <w:rFonts w:hint="eastAsia" w:ascii="仿宋" w:hAnsi="仿宋" w:eastAsia="仿宋" w:cs="仿宋"/>
          <w:b w:val="0"/>
          <w:bCs w:val="0"/>
          <w:kern w:val="2"/>
          <w:sz w:val="32"/>
          <w:szCs w:val="32"/>
        </w:rPr>
        <w:t>元。</w:t>
      </w:r>
      <w:r>
        <w:rPr>
          <w:rFonts w:hint="eastAsia" w:ascii="仿宋" w:hAnsi="仿宋" w:eastAsia="仿宋" w:cs="仿宋"/>
          <w:b w:val="0"/>
          <w:bCs w:val="0"/>
          <w:kern w:val="2"/>
          <w:sz w:val="32"/>
          <w:szCs w:val="32"/>
          <w:lang w:val="en-US" w:eastAsia="zh-CN"/>
        </w:rPr>
        <w:t>当年</w:t>
      </w:r>
      <w:r>
        <w:rPr>
          <w:rFonts w:hint="eastAsia" w:ascii="仿宋" w:hAnsi="仿宋" w:eastAsia="仿宋" w:cs="仿宋"/>
          <w:b w:val="0"/>
          <w:bCs w:val="0"/>
          <w:kern w:val="2"/>
          <w:sz w:val="32"/>
          <w:szCs w:val="32"/>
        </w:rPr>
        <w:t>新增教学科研仪器设备值2,712.46万元</w:t>
      </w:r>
      <w:r>
        <w:rPr>
          <w:rFonts w:hint="eastAsia" w:ascii="仿宋" w:hAnsi="仿宋" w:eastAsia="仿宋" w:cs="仿宋"/>
          <w:b w:val="0"/>
          <w:bCs w:val="0"/>
          <w:kern w:val="2"/>
          <w:sz w:val="32"/>
          <w:szCs w:val="32"/>
          <w:lang w:eastAsia="zh-CN"/>
        </w:rPr>
        <w:t>，</w:t>
      </w:r>
      <w:r>
        <w:rPr>
          <w:rFonts w:hint="eastAsia" w:ascii="仿宋" w:hAnsi="仿宋" w:eastAsia="仿宋" w:cs="仿宋"/>
          <w:b w:val="0"/>
          <w:bCs w:val="0"/>
          <w:kern w:val="2"/>
          <w:sz w:val="32"/>
          <w:szCs w:val="32"/>
          <w:lang w:val="en-US" w:eastAsia="zh-CN"/>
        </w:rPr>
        <w:t>新增教学科研仪器设备所占比例为13.98%</w:t>
      </w:r>
      <w:r>
        <w:rPr>
          <w:rFonts w:hint="eastAsia" w:ascii="仿宋" w:hAnsi="仿宋" w:eastAsia="仿宋" w:cs="仿宋"/>
          <w:b w:val="0"/>
          <w:bCs w:val="0"/>
          <w:kern w:val="2"/>
          <w:sz w:val="32"/>
          <w:szCs w:val="32"/>
        </w:rPr>
        <w:t>。</w:t>
      </w:r>
      <w:r>
        <w:rPr>
          <w:rFonts w:hint="eastAsia" w:ascii="仿宋" w:hAnsi="仿宋" w:eastAsia="仿宋" w:cs="仿宋"/>
          <w:b w:val="0"/>
          <w:bCs w:val="0"/>
          <w:kern w:val="2"/>
          <w:sz w:val="32"/>
          <w:szCs w:val="32"/>
          <w:lang w:val="en-US" w:eastAsia="zh-CN"/>
        </w:rPr>
        <w:t>其中，教学用计算机台数为8900，百名学生配教学用计算机数为43.49。</w:t>
      </w:r>
    </w:p>
    <w:p>
      <w:pPr>
        <w:pStyle w:val="11"/>
        <w:pageBreakBefore w:val="0"/>
        <w:widowControl w:val="0"/>
        <w:kinsoku/>
        <w:wordWrap/>
        <w:overflowPunct/>
        <w:topLinePunct w:val="0"/>
        <w:autoSpaceDE/>
        <w:autoSpaceDN/>
        <w:bidi w:val="0"/>
        <w:adjustRightInd w:val="0"/>
        <w:snapToGrid/>
        <w:spacing w:before="0" w:beforeAutospacing="0" w:after="0" w:afterAutospacing="0" w:line="560" w:lineRule="exact"/>
        <w:ind w:right="0" w:rightChars="0" w:firstLine="321" w:firstLineChars="100"/>
        <w:jc w:val="both"/>
        <w:textAlignment w:val="auto"/>
        <w:rPr>
          <w:rFonts w:hint="eastAsia" w:ascii="仿宋" w:hAnsi="仿宋" w:eastAsia="仿宋" w:cs="仿宋"/>
          <w:b/>
          <w:bCs/>
          <w:kern w:val="2"/>
          <w:sz w:val="32"/>
          <w:szCs w:val="32"/>
          <w:lang w:eastAsia="zh-CN"/>
        </w:rPr>
      </w:pPr>
      <w:r>
        <w:rPr>
          <w:rFonts w:hint="eastAsia" w:ascii="仿宋" w:hAnsi="仿宋" w:eastAsia="仿宋" w:cs="仿宋"/>
          <w:b/>
          <w:bCs/>
          <w:kern w:val="2"/>
          <w:sz w:val="32"/>
          <w:szCs w:val="32"/>
          <w:lang w:eastAsia="zh-CN"/>
        </w:rPr>
        <w:t>（</w:t>
      </w:r>
      <w:r>
        <w:rPr>
          <w:rFonts w:hint="eastAsia" w:ascii="仿宋" w:hAnsi="仿宋" w:eastAsia="仿宋" w:cs="仿宋"/>
          <w:b/>
          <w:bCs/>
          <w:kern w:val="2"/>
          <w:sz w:val="32"/>
          <w:szCs w:val="32"/>
          <w:lang w:val="en-US" w:eastAsia="zh-CN"/>
        </w:rPr>
        <w:t>2</w:t>
      </w:r>
      <w:r>
        <w:rPr>
          <w:rFonts w:hint="eastAsia" w:ascii="仿宋" w:hAnsi="仿宋" w:eastAsia="仿宋" w:cs="仿宋"/>
          <w:b/>
          <w:bCs/>
          <w:kern w:val="2"/>
          <w:sz w:val="32"/>
          <w:szCs w:val="32"/>
          <w:lang w:eastAsia="zh-CN"/>
        </w:rPr>
        <w:t>）</w:t>
      </w:r>
      <w:r>
        <w:rPr>
          <w:rFonts w:hint="eastAsia" w:ascii="仿宋" w:hAnsi="仿宋" w:eastAsia="仿宋" w:cs="仿宋"/>
          <w:b/>
          <w:bCs/>
          <w:kern w:val="2"/>
          <w:sz w:val="32"/>
          <w:szCs w:val="32"/>
        </w:rPr>
        <w:t>校内</w:t>
      </w:r>
      <w:r>
        <w:rPr>
          <w:rFonts w:hint="eastAsia" w:ascii="仿宋" w:hAnsi="仿宋" w:eastAsia="仿宋" w:cs="仿宋"/>
          <w:b/>
          <w:bCs/>
          <w:kern w:val="2"/>
          <w:sz w:val="32"/>
          <w:szCs w:val="32"/>
          <w:lang w:eastAsia="zh-CN"/>
        </w:rPr>
        <w:t>外</w:t>
      </w:r>
      <w:r>
        <w:rPr>
          <w:rFonts w:hint="eastAsia" w:ascii="仿宋" w:hAnsi="仿宋" w:eastAsia="仿宋" w:cs="仿宋"/>
          <w:b/>
          <w:bCs/>
          <w:kern w:val="2"/>
          <w:sz w:val="32"/>
          <w:szCs w:val="32"/>
        </w:rPr>
        <w:t>实训基地</w:t>
      </w:r>
    </w:p>
    <w:p>
      <w:pPr>
        <w:pageBreakBefore w:val="0"/>
        <w:kinsoku/>
        <w:wordWrap/>
        <w:overflowPunct/>
        <w:topLinePunct w:val="0"/>
        <w:autoSpaceDE/>
        <w:autoSpaceDN/>
        <w:bidi w:val="0"/>
        <w:snapToGrid/>
        <w:spacing w:line="560" w:lineRule="exact"/>
        <w:ind w:left="0" w:leftChars="0" w:firstLine="640" w:firstLineChars="200"/>
        <w:textAlignment w:val="auto"/>
        <w:rPr>
          <w:rFonts w:hint="eastAsia" w:ascii="仿宋" w:hAnsi="仿宋" w:eastAsia="仿宋" w:cs="仿宋"/>
          <w:b w:val="0"/>
          <w:bCs w:val="0"/>
          <w:kern w:val="2"/>
          <w:sz w:val="32"/>
          <w:szCs w:val="32"/>
          <w:lang w:eastAsia="zh-CN"/>
        </w:rPr>
      </w:pPr>
      <w:r>
        <w:rPr>
          <w:rFonts w:hint="eastAsia" w:ascii="仿宋" w:hAnsi="仿宋" w:eastAsia="仿宋" w:cs="仿宋"/>
          <w:sz w:val="32"/>
          <w:szCs w:val="32"/>
        </w:rPr>
        <w:t>我校建有两栋20层的实训大楼、</w:t>
      </w:r>
      <w:r>
        <w:rPr>
          <w:rFonts w:hint="eastAsia" w:ascii="仿宋" w:hAnsi="仿宋" w:eastAsia="仿宋" w:cs="仿宋"/>
          <w:sz w:val="32"/>
          <w:szCs w:val="32"/>
          <w:lang w:val="en-US" w:eastAsia="zh-CN"/>
        </w:rPr>
        <w:t>4</w:t>
      </w:r>
      <w:r>
        <w:rPr>
          <w:rFonts w:hint="eastAsia" w:ascii="仿宋" w:hAnsi="仿宋" w:eastAsia="仿宋" w:cs="仿宋"/>
          <w:sz w:val="32"/>
          <w:szCs w:val="32"/>
        </w:rPr>
        <w:t>座实训大棚（包括</w:t>
      </w:r>
      <w:r>
        <w:rPr>
          <w:rFonts w:hint="eastAsia" w:ascii="仿宋" w:hAnsi="仿宋" w:eastAsia="仿宋" w:cs="仿宋"/>
          <w:sz w:val="32"/>
          <w:szCs w:val="32"/>
          <w:lang w:val="en-US" w:eastAsia="zh-CN"/>
        </w:rPr>
        <w:t>3</w:t>
      </w:r>
      <w:r>
        <w:rPr>
          <w:rFonts w:hint="eastAsia" w:ascii="仿宋" w:hAnsi="仿宋" w:eastAsia="仿宋" w:cs="仿宋"/>
          <w:sz w:val="32"/>
          <w:szCs w:val="32"/>
        </w:rPr>
        <w:t>座风雨棚）和1个建筑材料检测综合实训大棚，其中包括</w:t>
      </w:r>
      <w:r>
        <w:rPr>
          <w:rFonts w:hint="eastAsia" w:ascii="仿宋" w:hAnsi="仿宋" w:eastAsia="仿宋" w:cs="仿宋"/>
          <w:sz w:val="32"/>
          <w:szCs w:val="32"/>
          <w:highlight w:val="yellow"/>
        </w:rPr>
        <w:t>国家级实训基地</w:t>
      </w:r>
      <w:r>
        <w:rPr>
          <w:rFonts w:hint="eastAsia" w:ascii="仿宋" w:hAnsi="仿宋" w:eastAsia="仿宋" w:cs="仿宋"/>
          <w:sz w:val="32"/>
          <w:szCs w:val="32"/>
          <w:highlight w:val="yellow"/>
          <w:lang w:val="en-US" w:eastAsia="zh-CN"/>
        </w:rPr>
        <w:t>11</w:t>
      </w:r>
      <w:r>
        <w:rPr>
          <w:rFonts w:hint="eastAsia" w:ascii="仿宋" w:hAnsi="仿宋" w:eastAsia="仿宋" w:cs="仿宋"/>
          <w:sz w:val="32"/>
          <w:szCs w:val="32"/>
          <w:highlight w:val="yellow"/>
        </w:rPr>
        <w:t>个，自治区级示范性实训基地</w:t>
      </w:r>
      <w:r>
        <w:rPr>
          <w:rFonts w:hint="eastAsia" w:ascii="仿宋" w:hAnsi="仿宋" w:eastAsia="仿宋" w:cs="仿宋"/>
          <w:sz w:val="32"/>
          <w:szCs w:val="32"/>
          <w:highlight w:val="yellow"/>
          <w:lang w:val="en-US" w:eastAsia="zh-CN"/>
        </w:rPr>
        <w:t>9</w:t>
      </w:r>
      <w:r>
        <w:rPr>
          <w:rFonts w:hint="eastAsia" w:ascii="仿宋" w:hAnsi="仿宋" w:eastAsia="仿宋" w:cs="仿宋"/>
          <w:sz w:val="32"/>
          <w:szCs w:val="32"/>
          <w:highlight w:val="yellow"/>
        </w:rPr>
        <w:t>个。</w:t>
      </w:r>
      <w:r>
        <w:rPr>
          <w:rFonts w:hint="eastAsia" w:ascii="仿宋" w:hAnsi="仿宋" w:eastAsia="仿宋" w:cs="仿宋"/>
          <w:sz w:val="32"/>
          <w:szCs w:val="32"/>
        </w:rPr>
        <w:t>校内实验实训室</w:t>
      </w:r>
      <w:r>
        <w:rPr>
          <w:rFonts w:hint="eastAsia" w:ascii="仿宋" w:hAnsi="仿宋" w:eastAsia="仿宋" w:cs="仿宋"/>
          <w:sz w:val="32"/>
          <w:szCs w:val="32"/>
          <w:lang w:val="en-US" w:eastAsia="zh-CN"/>
        </w:rPr>
        <w:t>223</w:t>
      </w:r>
      <w:r>
        <w:rPr>
          <w:rFonts w:hint="eastAsia" w:ascii="仿宋" w:hAnsi="仿宋" w:eastAsia="仿宋" w:cs="仿宋"/>
          <w:sz w:val="32"/>
          <w:szCs w:val="32"/>
        </w:rPr>
        <w:t>间，其中，理实一体化实训室65间，覆盖全部专业课程。此外，开展职业技能鉴定的实训项目11个，有11个校企合作实训室（基地）作为生产性实训基地对外</w:t>
      </w:r>
      <w:bookmarkStart w:id="164" w:name="_GoBack"/>
      <w:bookmarkEnd w:id="164"/>
      <w:r>
        <w:rPr>
          <w:rFonts w:hint="eastAsia" w:ascii="仿宋" w:hAnsi="仿宋" w:eastAsia="仿宋" w:cs="仿宋"/>
          <w:sz w:val="32"/>
          <w:szCs w:val="32"/>
        </w:rPr>
        <w:t>承接业务。20</w:t>
      </w:r>
      <w:r>
        <w:rPr>
          <w:rFonts w:hint="eastAsia" w:ascii="仿宋" w:hAnsi="仿宋" w:eastAsia="仿宋" w:cs="仿宋"/>
          <w:sz w:val="32"/>
          <w:szCs w:val="32"/>
          <w:lang w:val="en-US" w:eastAsia="zh-CN"/>
        </w:rPr>
        <w:t>21</w:t>
      </w:r>
      <w:r>
        <w:rPr>
          <w:rFonts w:hint="eastAsia" w:ascii="仿宋" w:hAnsi="仿宋" w:eastAsia="仿宋" w:cs="仿宋"/>
          <w:sz w:val="32"/>
          <w:szCs w:val="32"/>
        </w:rPr>
        <w:t>年，我校对</w:t>
      </w:r>
      <w:r>
        <w:rPr>
          <w:rFonts w:hint="eastAsia" w:ascii="仿宋" w:hAnsi="仿宋" w:eastAsia="仿宋" w:cs="仿宋"/>
          <w:sz w:val="32"/>
          <w:szCs w:val="32"/>
          <w:lang w:val="en-US" w:eastAsia="zh-CN"/>
        </w:rPr>
        <w:t>28</w:t>
      </w:r>
      <w:r>
        <w:rPr>
          <w:rFonts w:hint="eastAsia" w:ascii="仿宋" w:hAnsi="仿宋" w:eastAsia="仿宋" w:cs="仿宋"/>
          <w:sz w:val="32"/>
          <w:szCs w:val="32"/>
        </w:rPr>
        <w:t>个实训室通过设备补充和购置并进行了扩建，同时新建了</w:t>
      </w:r>
      <w:r>
        <w:rPr>
          <w:rFonts w:hint="eastAsia" w:ascii="仿宋" w:hAnsi="仿宋" w:eastAsia="仿宋" w:cs="仿宋"/>
          <w:sz w:val="32"/>
          <w:szCs w:val="32"/>
          <w:lang w:val="en-US" w:eastAsia="zh-CN"/>
        </w:rPr>
        <w:t>11</w:t>
      </w:r>
      <w:r>
        <w:rPr>
          <w:rFonts w:hint="eastAsia" w:ascii="仿宋" w:hAnsi="仿宋" w:eastAsia="仿宋" w:cs="仿宋"/>
          <w:sz w:val="32"/>
          <w:szCs w:val="32"/>
        </w:rPr>
        <w:t>个实训室。</w:t>
      </w:r>
    </w:p>
    <w:p>
      <w:pPr>
        <w:pStyle w:val="11"/>
        <w:pageBreakBefore w:val="0"/>
        <w:widowControl w:val="0"/>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kern w:val="2"/>
          <w:sz w:val="32"/>
          <w:szCs w:val="32"/>
          <w:lang w:eastAsia="zh-CN"/>
        </w:rPr>
      </w:pPr>
      <w:r>
        <w:rPr>
          <w:rFonts w:hint="eastAsia" w:ascii="仿宋" w:hAnsi="仿宋" w:eastAsia="仿宋" w:cs="仿宋"/>
          <w:kern w:val="2"/>
          <w:sz w:val="32"/>
          <w:szCs w:val="32"/>
        </w:rPr>
        <w:t>目前，我校建有稳定的校外学习基地218个，基本满足各专业学生实习的教学需要。</w:t>
      </w:r>
      <w:bookmarkStart w:id="7" w:name="_Toc437380297"/>
      <w:bookmarkStart w:id="8" w:name="_Toc14409"/>
    </w:p>
    <w:p>
      <w:pPr>
        <w:pStyle w:val="11"/>
        <w:pageBreakBefore w:val="0"/>
        <w:widowControl w:val="0"/>
        <w:numPr>
          <w:ilvl w:val="0"/>
          <w:numId w:val="0"/>
        </w:numPr>
        <w:kinsoku/>
        <w:wordWrap/>
        <w:overflowPunct/>
        <w:topLinePunct w:val="0"/>
        <w:autoSpaceDE/>
        <w:autoSpaceDN/>
        <w:bidi w:val="0"/>
        <w:adjustRightInd w:val="0"/>
        <w:snapToGrid/>
        <w:spacing w:before="0" w:beforeAutospacing="0" w:after="0" w:afterAutospacing="0" w:line="560" w:lineRule="exact"/>
        <w:ind w:right="0" w:rightChars="0" w:firstLine="321" w:firstLineChars="100"/>
        <w:jc w:val="both"/>
        <w:textAlignment w:val="auto"/>
        <w:rPr>
          <w:rFonts w:hint="eastAsia" w:ascii="仿宋" w:hAnsi="仿宋" w:eastAsia="仿宋" w:cs="仿宋"/>
          <w:b/>
          <w:bCs/>
          <w:kern w:val="2"/>
          <w:sz w:val="32"/>
          <w:szCs w:val="32"/>
        </w:rPr>
      </w:pPr>
      <w:r>
        <w:rPr>
          <w:rFonts w:hint="eastAsia" w:ascii="仿宋" w:hAnsi="仿宋" w:eastAsia="仿宋" w:cs="仿宋"/>
          <w:b/>
          <w:bCs/>
          <w:kern w:val="2"/>
          <w:sz w:val="32"/>
          <w:szCs w:val="32"/>
          <w:lang w:eastAsia="zh-CN"/>
        </w:rPr>
        <w:t>（</w:t>
      </w:r>
      <w:r>
        <w:rPr>
          <w:rFonts w:hint="eastAsia" w:ascii="仿宋" w:hAnsi="仿宋" w:eastAsia="仿宋" w:cs="仿宋"/>
          <w:b/>
          <w:bCs/>
          <w:kern w:val="2"/>
          <w:sz w:val="32"/>
          <w:szCs w:val="32"/>
          <w:lang w:val="en-US" w:eastAsia="zh-CN"/>
        </w:rPr>
        <w:t>3</w:t>
      </w:r>
      <w:r>
        <w:rPr>
          <w:rFonts w:hint="eastAsia" w:ascii="仿宋" w:hAnsi="仿宋" w:eastAsia="仿宋" w:cs="仿宋"/>
          <w:b/>
          <w:bCs/>
          <w:kern w:val="2"/>
          <w:sz w:val="32"/>
          <w:szCs w:val="32"/>
          <w:lang w:eastAsia="zh-CN"/>
        </w:rPr>
        <w:t>）</w:t>
      </w:r>
      <w:r>
        <w:rPr>
          <w:rFonts w:hint="eastAsia" w:ascii="仿宋" w:hAnsi="仿宋" w:eastAsia="仿宋" w:cs="仿宋"/>
          <w:b/>
          <w:bCs/>
          <w:kern w:val="2"/>
          <w:sz w:val="32"/>
          <w:szCs w:val="32"/>
        </w:rPr>
        <w:t>产学研机构</w:t>
      </w:r>
      <w:bookmarkStart w:id="9" w:name="_Toc10675"/>
    </w:p>
    <w:p>
      <w:pPr>
        <w:pStyle w:val="11"/>
        <w:pageBreakBefore w:val="0"/>
        <w:widowControl w:val="0"/>
        <w:numPr>
          <w:ilvl w:val="0"/>
          <w:numId w:val="0"/>
        </w:numPr>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学校注重深化校企合作，提高产学研能力。依托下属单位广西建筑科学研究设计院、广西城乡规划设计院科研力量、资源和优势，加大科研合作。出台《广西建设职业技术学院科技成果转化管理暂行办法》《广西建设职业技术学院横向科研项目经费管理暂行办法（试行）》《广西建设职业技术学院学术道德规范及学术不端行为查处办法》等管理制度文件，鼓励产学研合作。与武汉理工大学签署《广西建设职业技术学院 武汉理工大学 战略合作协议》，联合成立广西韧性城市发展研究院，依托武汉理工大学的中国应急管理研究中心、安全预警与应急联动技术湖北省协同创新中心及湖北创新发展研究院，共同推动科研技术成果落地和转化。</w:t>
      </w:r>
      <w:bookmarkEnd w:id="9"/>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rPr>
      </w:pPr>
      <w:bookmarkStart w:id="10" w:name="_Toc5888"/>
      <w:r>
        <w:rPr>
          <w:rFonts w:hint="default" w:ascii="Times New Roman" w:hAnsi="Times New Roman" w:eastAsia="楷体" w:cs="Times New Roman"/>
          <w:b/>
          <w:bCs/>
          <w:color w:val="auto"/>
          <w:sz w:val="32"/>
          <w:szCs w:val="32"/>
          <w:highlight w:val="none"/>
          <w:lang w:eastAsia="zh-CN"/>
        </w:rPr>
        <w:t>（二）</w:t>
      </w:r>
      <w:r>
        <w:rPr>
          <w:rFonts w:hint="default" w:ascii="Times New Roman" w:hAnsi="Times New Roman" w:eastAsia="楷体" w:cs="Times New Roman"/>
          <w:b/>
          <w:bCs/>
          <w:color w:val="auto"/>
          <w:sz w:val="32"/>
          <w:szCs w:val="32"/>
          <w:highlight w:val="none"/>
        </w:rPr>
        <w:t>专业建设</w:t>
      </w:r>
      <w:bookmarkEnd w:id="7"/>
      <w:bookmarkEnd w:id="8"/>
      <w:bookmarkEnd w:id="10"/>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sz w:val="32"/>
          <w:szCs w:val="32"/>
        </w:rPr>
      </w:pPr>
      <w:bookmarkStart w:id="11" w:name="_Toc16545_WPSOffice_Level3"/>
      <w:bookmarkStart w:id="12" w:name="_Toc4713"/>
      <w:r>
        <w:rPr>
          <w:rFonts w:hint="eastAsia" w:ascii="仿宋" w:hAnsi="仿宋" w:eastAsia="仿宋" w:cs="仿宋"/>
          <w:b/>
          <w:bCs/>
          <w:sz w:val="32"/>
          <w:szCs w:val="32"/>
        </w:rPr>
        <w:t>1.专业结构</w:t>
      </w:r>
      <w:bookmarkEnd w:id="11"/>
      <w:bookmarkEnd w:id="12"/>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sz w:val="32"/>
          <w:szCs w:val="32"/>
        </w:rPr>
      </w:pPr>
      <w:r>
        <w:rPr>
          <w:rFonts w:hint="eastAsia" w:ascii="仿宋" w:hAnsi="仿宋" w:eastAsia="仿宋" w:cs="仿宋"/>
          <w:sz w:val="32"/>
          <w:szCs w:val="32"/>
        </w:rPr>
        <w:t>我校现有专业41个，2</w:t>
      </w:r>
      <w:r>
        <w:rPr>
          <w:rFonts w:hint="eastAsia" w:ascii="仿宋" w:hAnsi="仿宋" w:eastAsia="仿宋" w:cs="仿宋"/>
          <w:kern w:val="2"/>
          <w:sz w:val="32"/>
          <w:szCs w:val="32"/>
        </w:rPr>
        <w:t>021年招生专业40个，专业设置以土木建筑大类为主，涵盖了建筑设计、城乡规划与管理、土建施工、建筑设备、建设工程管理、市政工程、房地产等七个专业类别；适当延伸拓展至与建设行业有关联的文化艺术、交通运输、资源环境与安全、电子信息、财经商贸、教育与体育等六个专业大类，多学科专业协调发展。在校生规模最大的五个专业依次为建筑工程技术、工程造价、建设工</w:t>
      </w:r>
      <w:r>
        <w:rPr>
          <w:rFonts w:hint="eastAsia" w:ascii="仿宋" w:hAnsi="仿宋" w:eastAsia="仿宋" w:cs="仿宋"/>
          <w:sz w:val="32"/>
          <w:szCs w:val="32"/>
        </w:rPr>
        <w:t>程管理、计算机网络技术、建筑设计。</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sz w:val="32"/>
          <w:szCs w:val="32"/>
          <w:lang w:val="en-US" w:eastAsia="zh-CN"/>
        </w:rPr>
      </w:pPr>
      <w:bookmarkStart w:id="13" w:name="_Toc11698"/>
      <w:bookmarkStart w:id="14" w:name="_Toc437380298"/>
      <w:bookmarkStart w:id="15" w:name="_Toc3322"/>
      <w:r>
        <w:rPr>
          <w:rFonts w:hint="eastAsia" w:ascii="仿宋" w:hAnsi="仿宋" w:eastAsia="仿宋" w:cs="仿宋"/>
          <w:b/>
          <w:bCs/>
          <w:sz w:val="32"/>
          <w:szCs w:val="32"/>
          <w:lang w:val="en-US" w:eastAsia="zh-CN"/>
        </w:rPr>
        <w:t>2.专业及专业群建设</w:t>
      </w:r>
      <w:bookmarkEnd w:id="13"/>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Cs w:val="0"/>
          <w:kern w:val="2"/>
          <w:sz w:val="32"/>
          <w:szCs w:val="32"/>
          <w:lang w:bidi="ar-SA"/>
        </w:rPr>
      </w:pPr>
      <w:r>
        <w:rPr>
          <w:rFonts w:hint="eastAsia" w:ascii="仿宋" w:hAnsi="仿宋" w:eastAsia="仿宋" w:cs="仿宋"/>
          <w:sz w:val="32"/>
          <w:szCs w:val="32"/>
        </w:rPr>
        <w:t>学校对接建设行业产业群，服务广西经济发展，按照自治区教育厅“扶需、扶特、扶优”的专业建设指导思想，结合实际情况，优先有序，主次分明地开展专业建设，重点建设10个骨干专业。建设有中国特色高水平专业群1个（建筑工程技术专业群）、自治区高水平专业群2个（建筑工程技术专业群、建筑工程管理专业群）。我校获批立项的6个广西职业教育示范特色专业及实训基地建设项目（见表１）先后顺利通过自治区教育厅的验收检查。此外，建筑工程技术、建设设计等5个专业获批立项为自治区职业教育专业教学资源库建设项目。</w:t>
      </w:r>
    </w:p>
    <w:p>
      <w:pPr>
        <w:widowControl/>
        <w:spacing w:line="560" w:lineRule="exact"/>
        <w:ind w:firstLine="0" w:firstLineChars="0"/>
        <w:jc w:val="center"/>
        <w:rPr>
          <w:rFonts w:ascii="Times New Roman" w:hAnsi="Times New Roman" w:eastAsia="仿宋" w:cs="Times New Roman"/>
          <w:bCs/>
          <w:color w:val="000000"/>
          <w:kern w:val="0"/>
          <w:sz w:val="28"/>
          <w:szCs w:val="28"/>
          <w:lang w:bidi="ar"/>
        </w:rPr>
      </w:pPr>
      <w:r>
        <w:rPr>
          <w:rFonts w:hint="default" w:ascii="Times New Roman" w:hAnsi="Times New Roman" w:eastAsia="仿宋" w:cs="Times New Roman"/>
          <w:bCs/>
          <w:color w:val="000000"/>
          <w:kern w:val="0"/>
          <w:sz w:val="28"/>
          <w:szCs w:val="28"/>
          <w:lang w:bidi="ar"/>
        </w:rPr>
        <w:t>表1 立项建设的自治区示范特色专业及实训基地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947"/>
        <w:gridCol w:w="2067"/>
        <w:gridCol w:w="3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序号</w:t>
            </w:r>
          </w:p>
        </w:tc>
        <w:tc>
          <w:tcPr>
            <w:tcW w:w="1947" w:type="dxa"/>
            <w:vAlign w:val="center"/>
          </w:tcPr>
          <w:p>
            <w:pPr>
              <w:keepNext w:val="0"/>
              <w:keepLines w:val="0"/>
              <w:suppressLineNumbers w:val="0"/>
              <w:spacing w:before="0" w:beforeAutospacing="0" w:after="0" w:afterAutospacing="0" w:line="240" w:lineRule="auto"/>
              <w:ind w:left="0" w:right="0" w:firstLine="480"/>
              <w:jc w:val="center"/>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名称</w:t>
            </w:r>
          </w:p>
        </w:tc>
        <w:tc>
          <w:tcPr>
            <w:tcW w:w="2067"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服务专业群</w:t>
            </w:r>
          </w:p>
        </w:tc>
        <w:tc>
          <w:tcPr>
            <w:tcW w:w="3601"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bCs/>
                <w:color w:val="000000"/>
                <w:kern w:val="0"/>
                <w:sz w:val="24"/>
                <w:lang w:bidi="ar"/>
              </w:rPr>
            </w:pPr>
            <w:r>
              <w:rPr>
                <w:rFonts w:hint="default" w:ascii="Times New Roman" w:hAnsi="Times New Roman" w:eastAsia="仿宋" w:cs="Times New Roman"/>
                <w:bCs/>
                <w:color w:val="000000"/>
                <w:kern w:val="0"/>
                <w:sz w:val="24"/>
                <w:lang w:bidi="ar"/>
              </w:rPr>
              <w:t>1</w:t>
            </w:r>
          </w:p>
        </w:tc>
        <w:tc>
          <w:tcPr>
            <w:tcW w:w="1947"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建筑工程技术示范特色专业及实训基地项目</w:t>
            </w:r>
          </w:p>
        </w:tc>
        <w:tc>
          <w:tcPr>
            <w:tcW w:w="2067"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以建筑工程技术专业牵头的建筑工程专业群</w:t>
            </w:r>
          </w:p>
        </w:tc>
        <w:tc>
          <w:tcPr>
            <w:tcW w:w="3601"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为本校以及广西同类高校提供教学场地、设备和技术支持；为建筑勘察设计、施工、工程检测等企业提供生产、技术研发、培训、技能鉴定服务。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bCs/>
                <w:color w:val="000000"/>
                <w:kern w:val="0"/>
                <w:sz w:val="24"/>
                <w:lang w:bidi="ar"/>
              </w:rPr>
            </w:pPr>
            <w:r>
              <w:rPr>
                <w:rFonts w:hint="default" w:ascii="Times New Roman" w:hAnsi="Times New Roman" w:eastAsia="仿宋" w:cs="Times New Roman"/>
                <w:bCs/>
                <w:color w:val="000000"/>
                <w:kern w:val="0"/>
                <w:sz w:val="24"/>
                <w:lang w:bidi="ar"/>
              </w:rPr>
              <w:t>2</w:t>
            </w:r>
          </w:p>
        </w:tc>
        <w:tc>
          <w:tcPr>
            <w:tcW w:w="1947"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工程造价示范特色专业及实训基地项目</w:t>
            </w:r>
          </w:p>
        </w:tc>
        <w:tc>
          <w:tcPr>
            <w:tcW w:w="2067"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以建设工程管理专业牵头的工程管理专业群</w:t>
            </w:r>
          </w:p>
        </w:tc>
        <w:tc>
          <w:tcPr>
            <w:tcW w:w="3601"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服务工程造价、建筑工程管理、房地产经营与估价、房地产营销策划等领域。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bCs/>
                <w:color w:val="000000"/>
                <w:kern w:val="0"/>
                <w:sz w:val="24"/>
                <w:lang w:bidi="ar"/>
              </w:rPr>
            </w:pPr>
            <w:r>
              <w:rPr>
                <w:rFonts w:hint="default" w:ascii="Times New Roman" w:hAnsi="Times New Roman" w:eastAsia="仿宋" w:cs="Times New Roman"/>
                <w:bCs/>
                <w:color w:val="000000"/>
                <w:kern w:val="0"/>
                <w:sz w:val="24"/>
                <w:lang w:bidi="ar"/>
              </w:rPr>
              <w:t>3</w:t>
            </w:r>
          </w:p>
        </w:tc>
        <w:tc>
          <w:tcPr>
            <w:tcW w:w="1947"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市政工程技术示范特色专业及实训基地项目</w:t>
            </w:r>
          </w:p>
        </w:tc>
        <w:tc>
          <w:tcPr>
            <w:tcW w:w="2067"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以市政工程技术、道路桥梁工程技术专业牵头的市政与交通专业群</w:t>
            </w:r>
          </w:p>
        </w:tc>
        <w:tc>
          <w:tcPr>
            <w:tcW w:w="3601"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服务市政基础设施建设、公路与铁路建设、城市轨道交通建设。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bCs/>
                <w:color w:val="000000"/>
                <w:kern w:val="0"/>
                <w:sz w:val="24"/>
                <w:lang w:bidi="ar"/>
              </w:rPr>
            </w:pPr>
            <w:r>
              <w:rPr>
                <w:rFonts w:hint="default" w:ascii="Times New Roman" w:hAnsi="Times New Roman" w:eastAsia="仿宋" w:cs="Times New Roman"/>
                <w:bCs/>
                <w:color w:val="000000"/>
                <w:kern w:val="0"/>
                <w:sz w:val="24"/>
                <w:lang w:bidi="ar"/>
              </w:rPr>
              <w:t>4</w:t>
            </w:r>
          </w:p>
        </w:tc>
        <w:tc>
          <w:tcPr>
            <w:tcW w:w="1947"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建筑设计技术示范特色专业及实训基地</w:t>
            </w:r>
          </w:p>
        </w:tc>
        <w:tc>
          <w:tcPr>
            <w:tcW w:w="2067"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以城镇规划专业牵头的建筑与城规专业群</w:t>
            </w:r>
          </w:p>
        </w:tc>
        <w:tc>
          <w:tcPr>
            <w:tcW w:w="3601"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服务城乡中小型民用建筑设计、小城镇规划编制与管理、城镇景观设计与施工领域。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bCs/>
                <w:color w:val="000000"/>
                <w:kern w:val="0"/>
                <w:sz w:val="24"/>
                <w:lang w:bidi="ar"/>
              </w:rPr>
            </w:pPr>
            <w:r>
              <w:rPr>
                <w:rFonts w:hint="default" w:ascii="Times New Roman" w:hAnsi="Times New Roman" w:eastAsia="仿宋" w:cs="Times New Roman"/>
                <w:bCs/>
                <w:color w:val="000000"/>
                <w:kern w:val="0"/>
                <w:sz w:val="24"/>
                <w:lang w:bidi="ar"/>
              </w:rPr>
              <w:t>5</w:t>
            </w:r>
          </w:p>
        </w:tc>
        <w:tc>
          <w:tcPr>
            <w:tcW w:w="1947"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建筑设备工程技术示范特色专业及实训基地</w:t>
            </w:r>
          </w:p>
        </w:tc>
        <w:tc>
          <w:tcPr>
            <w:tcW w:w="2067"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以建筑设备工程技术专业牵头的建筑设备专业群</w:t>
            </w:r>
          </w:p>
        </w:tc>
        <w:tc>
          <w:tcPr>
            <w:tcW w:w="3601"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服务建筑行业的建筑设备安装工程（包括消防）给排水、暖通、建筑电气施工技术与施工管理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bCs/>
                <w:color w:val="000000"/>
                <w:kern w:val="0"/>
                <w:sz w:val="24"/>
                <w:lang w:bidi="ar"/>
              </w:rPr>
            </w:pPr>
            <w:r>
              <w:rPr>
                <w:rFonts w:hint="default" w:ascii="Times New Roman" w:hAnsi="Times New Roman" w:eastAsia="仿宋" w:cs="Times New Roman"/>
                <w:bCs/>
                <w:color w:val="000000"/>
                <w:kern w:val="0"/>
                <w:sz w:val="24"/>
                <w:lang w:bidi="ar"/>
              </w:rPr>
              <w:t>6</w:t>
            </w:r>
          </w:p>
        </w:tc>
        <w:tc>
          <w:tcPr>
            <w:tcW w:w="1947"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建筑装饰技术专业示范特色专业及实训基地</w:t>
            </w:r>
          </w:p>
        </w:tc>
        <w:tc>
          <w:tcPr>
            <w:tcW w:w="2067"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以建筑装饰工程技术专业牵头的建筑装饰专业群</w:t>
            </w:r>
          </w:p>
        </w:tc>
        <w:tc>
          <w:tcPr>
            <w:tcW w:w="3601" w:type="dxa"/>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sz w:val="24"/>
              </w:rPr>
            </w:pPr>
            <w:r>
              <w:rPr>
                <w:rFonts w:hint="default" w:ascii="Times New Roman" w:hAnsi="Times New Roman" w:eastAsia="仿宋" w:cs="Times New Roman"/>
                <w:bCs/>
                <w:color w:val="000000"/>
                <w:kern w:val="0"/>
                <w:sz w:val="24"/>
                <w:lang w:bidi="ar"/>
              </w:rPr>
              <w:t>服务建筑装饰行业中公共建筑装饰、住宅建筑装饰等领域。</w:t>
            </w:r>
          </w:p>
        </w:tc>
      </w:tr>
    </w:tbl>
    <w:p>
      <w:pPr>
        <w:pStyle w:val="4"/>
        <w:bidi w:val="0"/>
        <w:rPr>
          <w:rFonts w:hint="default" w:ascii="Times New Roman" w:hAnsi="Times New Roman"/>
        </w:rPr>
      </w:pPr>
      <w:bookmarkStart w:id="16" w:name="_Toc27901"/>
      <w:r>
        <w:rPr>
          <w:rFonts w:hint="default" w:ascii="Times New Roman" w:hAnsi="Times New Roman"/>
          <w:lang w:eastAsia="zh-CN"/>
        </w:rPr>
        <w:t>（三）</w:t>
      </w:r>
      <w:r>
        <w:rPr>
          <w:rFonts w:hint="default" w:ascii="Times New Roman" w:hAnsi="Times New Roman"/>
        </w:rPr>
        <w:t>师资队伍</w:t>
      </w:r>
      <w:bookmarkEnd w:id="14"/>
      <w:bookmarkEnd w:id="15"/>
      <w:r>
        <w:rPr>
          <w:rFonts w:hint="default" w:ascii="Times New Roman" w:hAnsi="Times New Roman"/>
          <w:lang w:eastAsia="zh-CN"/>
        </w:rPr>
        <w:t>情况</w:t>
      </w:r>
      <w:bookmarkEnd w:id="16"/>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sz w:val="32"/>
          <w:szCs w:val="32"/>
          <w:lang w:val="en-US" w:eastAsia="zh-CN"/>
        </w:rPr>
      </w:pPr>
      <w:bookmarkStart w:id="17" w:name="_Toc437380305"/>
      <w:bookmarkStart w:id="18" w:name="_Toc3679"/>
      <w:r>
        <w:rPr>
          <w:rFonts w:hint="eastAsia" w:ascii="仿宋" w:hAnsi="仿宋" w:eastAsia="仿宋" w:cs="仿宋"/>
          <w:b w:val="0"/>
          <w:bCs w:val="0"/>
          <w:sz w:val="32"/>
          <w:szCs w:val="32"/>
          <w:lang w:val="en-US" w:eastAsia="zh-CN"/>
        </w:rPr>
        <w:t>目前全校教职工919人，博士研究生6人，研究生学历481人，正高级职称34人，副高级职称249人。其中国家“万人计划”教学名师1人，全国模范教师1人，全国优秀教师1人，广西优秀教师2人，广西教学名师3人，国家级职业教育教学教师创新团队2个，自治区级教学团队3个。</w:t>
      </w:r>
      <w:r>
        <w:rPr>
          <w:rFonts w:hint="eastAsia" w:ascii="仿宋" w:hAnsi="仿宋" w:eastAsia="仿宋" w:cs="仿宋"/>
          <w:sz w:val="32"/>
          <w:szCs w:val="32"/>
        </w:rPr>
        <w:t>师资整体素质明显提高，已基本形成了一支学历、年龄、职称、专业结构较合理的高水平师资队伍。</w:t>
      </w:r>
    </w:p>
    <w:p>
      <w:pPr>
        <w:pStyle w:val="4"/>
        <w:bidi w:val="0"/>
        <w:ind w:left="0" w:leftChars="0" w:firstLine="321" w:firstLineChars="100"/>
        <w:rPr>
          <w:rFonts w:hint="default" w:ascii="Times New Roman" w:hAnsi="Times New Roman"/>
          <w:lang w:val="en-US" w:eastAsia="zh-CN"/>
        </w:rPr>
      </w:pPr>
      <w:bookmarkStart w:id="19" w:name="_Toc3733"/>
      <w:r>
        <w:rPr>
          <w:rFonts w:hint="default" w:ascii="Times New Roman" w:hAnsi="Times New Roman"/>
          <w:lang w:val="en-US" w:eastAsia="zh-CN"/>
        </w:rPr>
        <w:t>（四）招生情况</w:t>
      </w:r>
      <w:bookmarkEnd w:id="19"/>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sz w:val="32"/>
          <w:szCs w:val="32"/>
          <w:lang w:val="en-US" w:eastAsia="zh-CN"/>
        </w:rPr>
      </w:pPr>
      <w:bookmarkStart w:id="20" w:name="_Toc847_WPSOffice_Level3"/>
      <w:bookmarkStart w:id="21" w:name="_Toc4756"/>
      <w:r>
        <w:rPr>
          <w:rFonts w:hint="eastAsia" w:ascii="仿宋" w:hAnsi="仿宋" w:eastAsia="仿宋" w:cs="仿宋"/>
          <w:b/>
          <w:bCs/>
          <w:sz w:val="32"/>
          <w:szCs w:val="32"/>
        </w:rPr>
        <w:t>1.</w:t>
      </w:r>
      <w:bookmarkEnd w:id="20"/>
      <w:r>
        <w:rPr>
          <w:rFonts w:hint="eastAsia" w:ascii="仿宋" w:hAnsi="仿宋" w:eastAsia="仿宋" w:cs="仿宋"/>
          <w:b/>
          <w:bCs/>
          <w:sz w:val="32"/>
          <w:szCs w:val="32"/>
        </w:rPr>
        <w:t>科学谋划布局，</w:t>
      </w:r>
      <w:r>
        <w:rPr>
          <w:rFonts w:hint="eastAsia" w:ascii="仿宋" w:hAnsi="仿宋" w:eastAsia="仿宋" w:cs="仿宋"/>
          <w:b/>
          <w:bCs/>
          <w:sz w:val="32"/>
          <w:szCs w:val="32"/>
          <w:lang w:val="en-US" w:eastAsia="zh-CN"/>
        </w:rPr>
        <w:t>计划完成率高</w:t>
      </w:r>
      <w:bookmarkEnd w:id="21"/>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sz w:val="32"/>
          <w:szCs w:val="32"/>
        </w:rPr>
      </w:pPr>
      <w:bookmarkStart w:id="22" w:name="_Toc26750_WPSOffice_Level3"/>
      <w:r>
        <w:rPr>
          <w:rFonts w:hint="eastAsia" w:ascii="仿宋" w:hAnsi="仿宋" w:eastAsia="仿宋" w:cs="仿宋"/>
          <w:sz w:val="32"/>
          <w:szCs w:val="32"/>
          <w:lang w:val="en-US" w:eastAsia="zh-CN"/>
        </w:rPr>
        <w:t>2021年，</w:t>
      </w:r>
      <w:r>
        <w:rPr>
          <w:rFonts w:hint="eastAsia" w:ascii="仿宋" w:hAnsi="仿宋" w:eastAsia="仿宋" w:cs="仿宋"/>
          <w:sz w:val="32"/>
          <w:szCs w:val="32"/>
        </w:rPr>
        <w:t>我</w:t>
      </w:r>
      <w:r>
        <w:rPr>
          <w:rFonts w:hint="eastAsia" w:ascii="仿宋" w:hAnsi="仿宋" w:eastAsia="仿宋" w:cs="仿宋"/>
          <w:sz w:val="32"/>
          <w:szCs w:val="32"/>
          <w:lang w:val="en-US" w:eastAsia="zh-CN"/>
        </w:rPr>
        <w:t>校继续认真落实</w:t>
      </w:r>
      <w:r>
        <w:rPr>
          <w:rFonts w:hint="eastAsia" w:ascii="仿宋" w:hAnsi="仿宋" w:eastAsia="仿宋" w:cs="仿宋"/>
          <w:sz w:val="32"/>
          <w:szCs w:val="32"/>
        </w:rPr>
        <w:t>国务院关于高职扩招100万</w:t>
      </w:r>
      <w:r>
        <w:rPr>
          <w:rFonts w:hint="eastAsia" w:ascii="仿宋" w:hAnsi="仿宋" w:eastAsia="仿宋" w:cs="仿宋"/>
          <w:bCs w:val="0"/>
          <w:sz w:val="32"/>
          <w:szCs w:val="32"/>
        </w:rPr>
        <w:t>的任务要求</w:t>
      </w:r>
      <w:r>
        <w:rPr>
          <w:rFonts w:hint="eastAsia" w:ascii="仿宋" w:hAnsi="仿宋" w:eastAsia="仿宋" w:cs="仿宋"/>
          <w:bCs w:val="0"/>
          <w:sz w:val="32"/>
          <w:szCs w:val="32"/>
          <w:lang w:eastAsia="zh-CN"/>
        </w:rPr>
        <w:t>，</w:t>
      </w:r>
      <w:r>
        <w:rPr>
          <w:rFonts w:hint="eastAsia" w:ascii="仿宋" w:hAnsi="仿宋" w:eastAsia="仿宋" w:cs="仿宋"/>
          <w:sz w:val="32"/>
          <w:szCs w:val="32"/>
        </w:rPr>
        <w:t>结合学校十四五发展规划、坚持突出学校办学特色，</w:t>
      </w:r>
      <w:r>
        <w:rPr>
          <w:rFonts w:hint="eastAsia" w:ascii="仿宋" w:hAnsi="仿宋" w:eastAsia="仿宋" w:cs="仿宋"/>
          <w:bCs w:val="0"/>
          <w:sz w:val="32"/>
          <w:szCs w:val="32"/>
        </w:rPr>
        <w:t>在科学预估生源情况、综合评估学校办学条件等基础上</w:t>
      </w:r>
      <w:r>
        <w:rPr>
          <w:rFonts w:hint="eastAsia" w:ascii="仿宋" w:hAnsi="仿宋" w:eastAsia="仿宋" w:cs="仿宋"/>
          <w:bCs w:val="0"/>
          <w:sz w:val="32"/>
          <w:szCs w:val="32"/>
          <w:lang w:eastAsia="zh-CN"/>
        </w:rPr>
        <w:t>，</w:t>
      </w:r>
      <w:r>
        <w:rPr>
          <w:rFonts w:hint="eastAsia" w:ascii="仿宋" w:hAnsi="仿宋" w:eastAsia="仿宋" w:cs="仿宋"/>
          <w:sz w:val="32"/>
          <w:szCs w:val="32"/>
        </w:rPr>
        <w:t>认真完成了2021年招生专业计划论证工作，科学地申报了学校2021年39个招生专业、8100个（其中普通高等教育招生计划8000个，高职扩招专项计划即社会人员学历提升计划100个）招生计划总规模</w:t>
      </w:r>
      <w:r>
        <w:rPr>
          <w:rFonts w:hint="eastAsia" w:ascii="仿宋" w:hAnsi="仿宋" w:eastAsia="仿宋" w:cs="仿宋"/>
          <w:sz w:val="32"/>
          <w:szCs w:val="32"/>
          <w:lang w:eastAsia="zh-CN"/>
        </w:rPr>
        <w:t>，</w:t>
      </w:r>
      <w:r>
        <w:rPr>
          <w:rFonts w:hint="eastAsia" w:ascii="仿宋" w:hAnsi="仿宋" w:eastAsia="仿宋" w:cs="仿宋"/>
          <w:sz w:val="32"/>
          <w:szCs w:val="32"/>
        </w:rPr>
        <w:t>招生生源省份分别为广西、河北、山东、湖北、湖南、江西、四川、福建、河南、广东、海南、陕西、云南、贵州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江苏</w:t>
      </w:r>
      <w:r>
        <w:rPr>
          <w:rFonts w:hint="eastAsia" w:ascii="仿宋" w:hAnsi="仿宋" w:eastAsia="仿宋" w:cs="仿宋"/>
          <w:sz w:val="32"/>
          <w:szCs w:val="32"/>
        </w:rPr>
        <w:t>等1</w:t>
      </w:r>
      <w:r>
        <w:rPr>
          <w:rFonts w:hint="eastAsia" w:ascii="仿宋" w:hAnsi="仿宋" w:eastAsia="仿宋" w:cs="仿宋"/>
          <w:sz w:val="32"/>
          <w:szCs w:val="32"/>
          <w:lang w:val="en-US" w:eastAsia="zh-CN"/>
        </w:rPr>
        <w:t>5</w:t>
      </w:r>
      <w:r>
        <w:rPr>
          <w:rFonts w:hint="eastAsia" w:ascii="仿宋" w:hAnsi="仿宋" w:eastAsia="仿宋" w:cs="仿宋"/>
          <w:sz w:val="32"/>
          <w:szCs w:val="32"/>
        </w:rPr>
        <w:t>个省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自治区</w:t>
      </w:r>
      <w:r>
        <w:rPr>
          <w:rFonts w:hint="eastAsia" w:ascii="仿宋" w:hAnsi="仿宋" w:eastAsia="仿宋" w:cs="仿宋"/>
          <w:sz w:val="32"/>
          <w:szCs w:val="32"/>
        </w:rPr>
        <w:t>。在体现优势专业特色、优化核心专业的招生计划量的同时，兼顾相关专业的招生计划，以优势专业吸引考生报考，提高生源数量质量。2021年，我校共录取新生8016人，招生计划完成率达98.96%，其中，区内普高招生计划完成率达到100%。</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sz w:val="32"/>
          <w:szCs w:val="32"/>
          <w:lang w:eastAsia="zh-CN"/>
        </w:rPr>
      </w:pPr>
      <w:bookmarkStart w:id="23" w:name="_Toc30385"/>
      <w:r>
        <w:rPr>
          <w:rFonts w:hint="eastAsia" w:ascii="仿宋" w:hAnsi="仿宋" w:eastAsia="仿宋" w:cs="仿宋"/>
          <w:b/>
          <w:bCs/>
          <w:sz w:val="32"/>
          <w:szCs w:val="32"/>
        </w:rPr>
        <w:t>2.生源数量充足，生源质量稳定</w:t>
      </w:r>
      <w:bookmarkEnd w:id="23"/>
    </w:p>
    <w:bookmarkEnd w:id="22"/>
    <w:p>
      <w:pPr>
        <w:pageBreakBefore w:val="0"/>
        <w:kinsoku/>
        <w:wordWrap/>
        <w:overflowPunct/>
        <w:topLinePunct w:val="0"/>
        <w:bidi w:val="0"/>
        <w:spacing w:line="560" w:lineRule="exact"/>
        <w:ind w:left="0" w:leftChars="0" w:right="0" w:rightChars="0" w:firstLine="320" w:firstLineChars="100"/>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rPr>
        <w:t>（1）普通高考招生录取工作。</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我校</w:t>
      </w:r>
      <w:r>
        <w:rPr>
          <w:rFonts w:hint="eastAsia" w:ascii="仿宋" w:hAnsi="仿宋" w:eastAsia="仿宋" w:cs="仿宋"/>
          <w:sz w:val="32"/>
          <w:szCs w:val="32"/>
        </w:rPr>
        <w:t>普通高考录取各批次共录取新生3095人，其中区内普通批次文理类正投最低出档线分别为368分、308分</w:t>
      </w:r>
      <w:r>
        <w:rPr>
          <w:rFonts w:hint="eastAsia" w:ascii="仿宋" w:hAnsi="仿宋" w:eastAsia="仿宋" w:cs="仿宋"/>
          <w:sz w:val="32"/>
          <w:szCs w:val="32"/>
          <w:lang w:eastAsia="zh-CN"/>
        </w:rPr>
        <w:t>，与2020年相比，文史类分数提高37分，理工类分数降低1分。</w:t>
      </w:r>
    </w:p>
    <w:p>
      <w:pPr>
        <w:spacing w:line="560" w:lineRule="exact"/>
        <w:ind w:firstLine="640"/>
        <w:jc w:val="center"/>
        <w:rPr>
          <w:rFonts w:hint="default"/>
          <w:sz w:val="28"/>
          <w:szCs w:val="28"/>
          <w:lang w:eastAsia="zh-CN"/>
        </w:rPr>
      </w:pPr>
      <w:r>
        <w:rPr>
          <w:rFonts w:hint="default" w:ascii="Times New Roman" w:hAnsi="Times New Roman" w:eastAsia="仿宋" w:cs="Times New Roman"/>
          <w:sz w:val="28"/>
          <w:szCs w:val="28"/>
        </w:rPr>
        <w:t>表</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 xml:space="preserve">  近三年我校普通批正投投档分数线</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037"/>
        <w:gridCol w:w="1134"/>
        <w:gridCol w:w="992"/>
        <w:gridCol w:w="992"/>
        <w:gridCol w:w="1128"/>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46" w:type="dxa"/>
            <w:vMerge w:val="restart"/>
            <w:noWrap w:val="0"/>
            <w:vAlign w:val="center"/>
          </w:tcPr>
          <w:p>
            <w:pPr>
              <w:keepNext w:val="0"/>
              <w:keepLines w:val="0"/>
              <w:suppressLineNumbers w:val="0"/>
              <w:spacing w:before="0" w:beforeAutospacing="0" w:after="0" w:afterAutospacing="0" w:line="560" w:lineRule="exact"/>
              <w:ind w:left="0" w:right="0" w:firstLine="368"/>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年份</w:t>
            </w:r>
          </w:p>
        </w:tc>
        <w:tc>
          <w:tcPr>
            <w:tcW w:w="3163" w:type="dxa"/>
            <w:gridSpan w:val="3"/>
            <w:noWrap w:val="0"/>
            <w:vAlign w:val="center"/>
          </w:tcPr>
          <w:p>
            <w:pPr>
              <w:keepNext w:val="0"/>
              <w:keepLines w:val="0"/>
              <w:suppressLineNumbers w:val="0"/>
              <w:spacing w:before="0" w:beforeAutospacing="0" w:after="0" w:afterAutospacing="0" w:line="560" w:lineRule="exact"/>
              <w:ind w:left="0" w:right="0" w:firstLine="368"/>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文史类</w:t>
            </w:r>
          </w:p>
        </w:tc>
        <w:tc>
          <w:tcPr>
            <w:tcW w:w="3402" w:type="dxa"/>
            <w:gridSpan w:val="3"/>
            <w:noWrap w:val="0"/>
            <w:vAlign w:val="center"/>
          </w:tcPr>
          <w:p>
            <w:pPr>
              <w:keepNext w:val="0"/>
              <w:keepLines w:val="0"/>
              <w:suppressLineNumbers w:val="0"/>
              <w:spacing w:before="0" w:beforeAutospacing="0" w:after="0" w:afterAutospacing="0" w:line="560" w:lineRule="exact"/>
              <w:ind w:left="0" w:right="0" w:firstLine="368"/>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理工类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46" w:type="dxa"/>
            <w:vMerge w:val="continue"/>
            <w:noWrap w:val="0"/>
            <w:vAlign w:val="center"/>
          </w:tcPr>
          <w:p>
            <w:pPr>
              <w:keepNext w:val="0"/>
              <w:keepLines w:val="0"/>
              <w:suppressLineNumbers w:val="0"/>
              <w:spacing w:before="0" w:beforeAutospacing="0" w:after="0" w:afterAutospacing="0" w:line="560" w:lineRule="exact"/>
              <w:ind w:left="0" w:right="0" w:firstLine="368"/>
              <w:jc w:val="center"/>
              <w:rPr>
                <w:rFonts w:hint="default" w:ascii="Times New Roman" w:hAnsi="Times New Roman" w:eastAsia="仿宋" w:cs="Times New Roman"/>
                <w:spacing w:val="-28"/>
                <w:sz w:val="24"/>
              </w:rPr>
            </w:pPr>
          </w:p>
        </w:tc>
        <w:tc>
          <w:tcPr>
            <w:tcW w:w="103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68"/>
              <w:jc w:val="center"/>
              <w:textAlignment w:val="auto"/>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广西控制分数线</w:t>
            </w:r>
          </w:p>
        </w:tc>
        <w:tc>
          <w:tcPr>
            <w:tcW w:w="113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68"/>
              <w:jc w:val="center"/>
              <w:textAlignment w:val="auto"/>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广西二本分数线</w:t>
            </w:r>
          </w:p>
        </w:tc>
        <w:tc>
          <w:tcPr>
            <w:tcW w:w="99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68"/>
              <w:jc w:val="center"/>
              <w:textAlignment w:val="auto"/>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我校投档线</w:t>
            </w:r>
          </w:p>
        </w:tc>
        <w:tc>
          <w:tcPr>
            <w:tcW w:w="99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68"/>
              <w:jc w:val="center"/>
              <w:textAlignment w:val="auto"/>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广西控制分数线</w:t>
            </w:r>
          </w:p>
        </w:tc>
        <w:tc>
          <w:tcPr>
            <w:tcW w:w="11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68"/>
              <w:jc w:val="center"/>
              <w:textAlignment w:val="auto"/>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广西二本分数线</w:t>
            </w:r>
          </w:p>
        </w:tc>
        <w:tc>
          <w:tcPr>
            <w:tcW w:w="12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68"/>
              <w:jc w:val="center"/>
              <w:textAlignment w:val="auto"/>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我校投档线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46" w:type="dxa"/>
            <w:noWrap w:val="0"/>
            <w:vAlign w:val="center"/>
          </w:tcPr>
          <w:p>
            <w:pPr>
              <w:keepNext w:val="0"/>
              <w:keepLines w:val="0"/>
              <w:suppressLineNumbers w:val="0"/>
              <w:spacing w:before="0" w:beforeAutospacing="0" w:after="0" w:afterAutospacing="0" w:line="560" w:lineRule="exact"/>
              <w:ind w:left="0" w:right="0" w:firstLine="368" w:firstLineChars="200"/>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2019</w:t>
            </w:r>
          </w:p>
        </w:tc>
        <w:tc>
          <w:tcPr>
            <w:tcW w:w="1037" w:type="dxa"/>
            <w:noWrap w:val="0"/>
            <w:vAlign w:val="center"/>
          </w:tcPr>
          <w:p>
            <w:pPr>
              <w:keepNext w:val="0"/>
              <w:keepLines w:val="0"/>
              <w:suppressLineNumbers w:val="0"/>
              <w:spacing w:before="0" w:beforeAutospacing="0" w:after="0" w:afterAutospacing="0" w:line="560" w:lineRule="exact"/>
              <w:ind w:left="0" w:right="0" w:firstLine="368" w:firstLineChars="200"/>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180</w:t>
            </w:r>
          </w:p>
        </w:tc>
        <w:tc>
          <w:tcPr>
            <w:tcW w:w="1134" w:type="dxa"/>
            <w:noWrap w:val="0"/>
            <w:vAlign w:val="center"/>
          </w:tcPr>
          <w:p>
            <w:pPr>
              <w:keepNext w:val="0"/>
              <w:keepLines w:val="0"/>
              <w:suppressLineNumbers w:val="0"/>
              <w:spacing w:before="0" w:beforeAutospacing="0" w:after="0" w:afterAutospacing="0" w:line="560" w:lineRule="exact"/>
              <w:ind w:left="0" w:right="0" w:firstLine="368" w:firstLineChars="200"/>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388</w:t>
            </w:r>
          </w:p>
        </w:tc>
        <w:tc>
          <w:tcPr>
            <w:tcW w:w="992" w:type="dxa"/>
            <w:noWrap w:val="0"/>
            <w:vAlign w:val="center"/>
          </w:tcPr>
          <w:p>
            <w:pPr>
              <w:keepNext w:val="0"/>
              <w:keepLines w:val="0"/>
              <w:suppressLineNumbers w:val="0"/>
              <w:spacing w:before="0" w:beforeAutospacing="0" w:after="0" w:afterAutospacing="0" w:line="560" w:lineRule="exact"/>
              <w:ind w:left="0" w:right="0" w:firstLine="368" w:firstLineChars="200"/>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332</w:t>
            </w:r>
          </w:p>
        </w:tc>
        <w:tc>
          <w:tcPr>
            <w:tcW w:w="992" w:type="dxa"/>
            <w:noWrap w:val="0"/>
            <w:vAlign w:val="center"/>
          </w:tcPr>
          <w:p>
            <w:pPr>
              <w:keepNext w:val="0"/>
              <w:keepLines w:val="0"/>
              <w:suppressLineNumbers w:val="0"/>
              <w:spacing w:before="0" w:beforeAutospacing="0" w:after="0" w:afterAutospacing="0" w:line="560" w:lineRule="exact"/>
              <w:ind w:left="0" w:right="0" w:firstLine="368" w:firstLineChars="200"/>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180</w:t>
            </w:r>
          </w:p>
        </w:tc>
        <w:tc>
          <w:tcPr>
            <w:tcW w:w="1128" w:type="dxa"/>
            <w:noWrap w:val="0"/>
            <w:vAlign w:val="center"/>
          </w:tcPr>
          <w:p>
            <w:pPr>
              <w:keepNext w:val="0"/>
              <w:keepLines w:val="0"/>
              <w:suppressLineNumbers w:val="0"/>
              <w:spacing w:before="0" w:beforeAutospacing="0" w:after="0" w:afterAutospacing="0" w:line="560" w:lineRule="exact"/>
              <w:ind w:left="0" w:right="0" w:firstLine="368" w:firstLineChars="200"/>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347</w:t>
            </w:r>
          </w:p>
        </w:tc>
        <w:tc>
          <w:tcPr>
            <w:tcW w:w="1282" w:type="dxa"/>
            <w:noWrap w:val="0"/>
            <w:vAlign w:val="center"/>
          </w:tcPr>
          <w:p>
            <w:pPr>
              <w:keepNext w:val="0"/>
              <w:keepLines w:val="0"/>
              <w:suppressLineNumbers w:val="0"/>
              <w:spacing w:before="0" w:beforeAutospacing="0" w:after="0" w:afterAutospacing="0" w:line="560" w:lineRule="exact"/>
              <w:ind w:left="0" w:right="0" w:firstLine="368" w:firstLineChars="200"/>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46" w:type="dxa"/>
            <w:noWrap w:val="0"/>
            <w:vAlign w:val="center"/>
          </w:tcPr>
          <w:p>
            <w:pPr>
              <w:keepNext w:val="0"/>
              <w:keepLines w:val="0"/>
              <w:suppressLineNumbers w:val="0"/>
              <w:spacing w:before="0" w:beforeAutospacing="0" w:after="0" w:afterAutospacing="0" w:line="560" w:lineRule="exact"/>
              <w:ind w:left="0" w:right="0" w:firstLine="368" w:firstLineChars="200"/>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2020</w:t>
            </w:r>
          </w:p>
        </w:tc>
        <w:tc>
          <w:tcPr>
            <w:tcW w:w="1037" w:type="dxa"/>
            <w:noWrap w:val="0"/>
            <w:vAlign w:val="center"/>
          </w:tcPr>
          <w:p>
            <w:pPr>
              <w:keepNext w:val="0"/>
              <w:keepLines w:val="0"/>
              <w:suppressLineNumbers w:val="0"/>
              <w:spacing w:before="0" w:beforeAutospacing="0" w:after="0" w:afterAutospacing="0" w:line="560" w:lineRule="exact"/>
              <w:ind w:left="0" w:right="0" w:firstLine="368" w:firstLineChars="200"/>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180</w:t>
            </w:r>
          </w:p>
        </w:tc>
        <w:tc>
          <w:tcPr>
            <w:tcW w:w="1134" w:type="dxa"/>
            <w:noWrap w:val="0"/>
            <w:vAlign w:val="center"/>
          </w:tcPr>
          <w:p>
            <w:pPr>
              <w:keepNext w:val="0"/>
              <w:keepLines w:val="0"/>
              <w:suppressLineNumbers w:val="0"/>
              <w:spacing w:before="0" w:beforeAutospacing="0" w:after="0" w:afterAutospacing="0" w:line="560" w:lineRule="exact"/>
              <w:ind w:left="0" w:right="0" w:firstLine="368" w:firstLineChars="200"/>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381</w:t>
            </w:r>
          </w:p>
        </w:tc>
        <w:tc>
          <w:tcPr>
            <w:tcW w:w="992" w:type="dxa"/>
            <w:noWrap w:val="0"/>
            <w:vAlign w:val="center"/>
          </w:tcPr>
          <w:p>
            <w:pPr>
              <w:keepNext w:val="0"/>
              <w:keepLines w:val="0"/>
              <w:suppressLineNumbers w:val="0"/>
              <w:spacing w:before="0" w:beforeAutospacing="0" w:after="0" w:afterAutospacing="0" w:line="560" w:lineRule="exact"/>
              <w:ind w:left="0" w:right="0" w:firstLine="368" w:firstLineChars="200"/>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331</w:t>
            </w:r>
          </w:p>
        </w:tc>
        <w:tc>
          <w:tcPr>
            <w:tcW w:w="992" w:type="dxa"/>
            <w:noWrap w:val="0"/>
            <w:vAlign w:val="center"/>
          </w:tcPr>
          <w:p>
            <w:pPr>
              <w:keepNext w:val="0"/>
              <w:keepLines w:val="0"/>
              <w:suppressLineNumbers w:val="0"/>
              <w:spacing w:before="0" w:beforeAutospacing="0" w:after="0" w:afterAutospacing="0" w:line="560" w:lineRule="exact"/>
              <w:ind w:left="0" w:right="0" w:firstLine="368" w:firstLineChars="200"/>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180</w:t>
            </w:r>
          </w:p>
        </w:tc>
        <w:tc>
          <w:tcPr>
            <w:tcW w:w="1128" w:type="dxa"/>
            <w:noWrap w:val="0"/>
            <w:vAlign w:val="center"/>
          </w:tcPr>
          <w:p>
            <w:pPr>
              <w:keepNext w:val="0"/>
              <w:keepLines w:val="0"/>
              <w:suppressLineNumbers w:val="0"/>
              <w:spacing w:before="0" w:beforeAutospacing="0" w:after="0" w:afterAutospacing="0" w:line="560" w:lineRule="exact"/>
              <w:ind w:left="0" w:right="0" w:firstLine="368" w:firstLineChars="200"/>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353</w:t>
            </w:r>
          </w:p>
        </w:tc>
        <w:tc>
          <w:tcPr>
            <w:tcW w:w="1282" w:type="dxa"/>
            <w:noWrap w:val="0"/>
            <w:vAlign w:val="center"/>
          </w:tcPr>
          <w:p>
            <w:pPr>
              <w:keepNext w:val="0"/>
              <w:keepLines w:val="0"/>
              <w:suppressLineNumbers w:val="0"/>
              <w:spacing w:before="0" w:beforeAutospacing="0" w:after="0" w:afterAutospacing="0" w:line="560" w:lineRule="exact"/>
              <w:ind w:left="0" w:right="0" w:firstLine="368" w:firstLineChars="200"/>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246" w:type="dxa"/>
            <w:noWrap w:val="0"/>
            <w:vAlign w:val="center"/>
          </w:tcPr>
          <w:p>
            <w:pPr>
              <w:keepNext w:val="0"/>
              <w:keepLines w:val="0"/>
              <w:suppressLineNumbers w:val="0"/>
              <w:spacing w:before="0" w:beforeAutospacing="0" w:after="0" w:afterAutospacing="0" w:line="560" w:lineRule="exact"/>
              <w:ind w:left="0" w:right="0" w:firstLine="368"/>
              <w:jc w:val="center"/>
              <w:rPr>
                <w:rFonts w:hint="default" w:ascii="Times New Roman" w:hAnsi="Times New Roman" w:eastAsia="仿宋" w:cs="Times New Roman"/>
                <w:spacing w:val="-28"/>
                <w:sz w:val="24"/>
                <w:lang w:val="en-US" w:eastAsia="zh-CN"/>
              </w:rPr>
            </w:pPr>
            <w:r>
              <w:rPr>
                <w:rFonts w:hint="default" w:ascii="Times New Roman" w:hAnsi="Times New Roman" w:eastAsia="仿宋" w:cs="Times New Roman"/>
                <w:spacing w:val="-28"/>
                <w:sz w:val="24"/>
              </w:rPr>
              <w:t>202</w:t>
            </w:r>
            <w:r>
              <w:rPr>
                <w:rFonts w:hint="default" w:ascii="Times New Roman" w:hAnsi="Times New Roman" w:eastAsia="仿宋" w:cs="Times New Roman"/>
                <w:spacing w:val="-28"/>
                <w:sz w:val="24"/>
                <w:lang w:val="en-US" w:eastAsia="zh-CN"/>
              </w:rPr>
              <w:t>1</w:t>
            </w:r>
          </w:p>
        </w:tc>
        <w:tc>
          <w:tcPr>
            <w:tcW w:w="1037" w:type="dxa"/>
            <w:noWrap w:val="0"/>
            <w:vAlign w:val="center"/>
          </w:tcPr>
          <w:p>
            <w:pPr>
              <w:keepNext w:val="0"/>
              <w:keepLines w:val="0"/>
              <w:suppressLineNumbers w:val="0"/>
              <w:spacing w:before="0" w:beforeAutospacing="0" w:after="0" w:afterAutospacing="0" w:line="560" w:lineRule="exact"/>
              <w:ind w:left="0" w:right="0" w:firstLine="368"/>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180</w:t>
            </w:r>
          </w:p>
        </w:tc>
        <w:tc>
          <w:tcPr>
            <w:tcW w:w="1134" w:type="dxa"/>
            <w:noWrap w:val="0"/>
            <w:vAlign w:val="center"/>
          </w:tcPr>
          <w:p>
            <w:pPr>
              <w:keepNext w:val="0"/>
              <w:keepLines w:val="0"/>
              <w:suppressLineNumbers w:val="0"/>
              <w:spacing w:before="0" w:beforeAutospacing="0" w:after="0" w:afterAutospacing="0" w:line="560" w:lineRule="exact"/>
              <w:ind w:left="0" w:right="0" w:firstLine="368"/>
              <w:jc w:val="center"/>
              <w:rPr>
                <w:rFonts w:hint="default" w:ascii="Times New Roman" w:hAnsi="Times New Roman" w:eastAsia="仿宋" w:cs="Times New Roman"/>
                <w:spacing w:val="-28"/>
                <w:sz w:val="24"/>
                <w:lang w:val="en-US" w:eastAsia="zh-CN"/>
              </w:rPr>
            </w:pPr>
            <w:r>
              <w:rPr>
                <w:rFonts w:hint="default" w:ascii="Times New Roman" w:hAnsi="Times New Roman" w:eastAsia="仿宋" w:cs="Times New Roman"/>
                <w:spacing w:val="-28"/>
                <w:sz w:val="24"/>
                <w:lang w:val="en-US" w:eastAsia="zh-CN"/>
              </w:rPr>
              <w:t>413</w:t>
            </w:r>
          </w:p>
        </w:tc>
        <w:tc>
          <w:tcPr>
            <w:tcW w:w="992" w:type="dxa"/>
            <w:noWrap w:val="0"/>
            <w:vAlign w:val="center"/>
          </w:tcPr>
          <w:p>
            <w:pPr>
              <w:keepNext w:val="0"/>
              <w:keepLines w:val="0"/>
              <w:suppressLineNumbers w:val="0"/>
              <w:spacing w:before="0" w:beforeAutospacing="0" w:after="0" w:afterAutospacing="0" w:line="560" w:lineRule="exact"/>
              <w:ind w:left="0" w:right="0" w:firstLine="368"/>
              <w:jc w:val="center"/>
              <w:rPr>
                <w:rFonts w:hint="default" w:ascii="Times New Roman" w:hAnsi="Times New Roman" w:eastAsia="仿宋" w:cs="Times New Roman"/>
                <w:spacing w:val="-28"/>
                <w:sz w:val="24"/>
                <w:lang w:val="en-US" w:eastAsia="zh-CN"/>
              </w:rPr>
            </w:pPr>
            <w:r>
              <w:rPr>
                <w:rFonts w:hint="default" w:ascii="Times New Roman" w:hAnsi="Times New Roman" w:eastAsia="仿宋" w:cs="Times New Roman"/>
                <w:spacing w:val="-28"/>
                <w:sz w:val="24"/>
                <w:lang w:val="en-US" w:eastAsia="zh-CN"/>
              </w:rPr>
              <w:t>368</w:t>
            </w:r>
          </w:p>
        </w:tc>
        <w:tc>
          <w:tcPr>
            <w:tcW w:w="992" w:type="dxa"/>
            <w:noWrap w:val="0"/>
            <w:vAlign w:val="center"/>
          </w:tcPr>
          <w:p>
            <w:pPr>
              <w:keepNext w:val="0"/>
              <w:keepLines w:val="0"/>
              <w:suppressLineNumbers w:val="0"/>
              <w:spacing w:before="0" w:beforeAutospacing="0" w:after="0" w:afterAutospacing="0" w:line="560" w:lineRule="exact"/>
              <w:ind w:left="0" w:right="0" w:firstLine="368"/>
              <w:jc w:val="center"/>
              <w:rPr>
                <w:rFonts w:hint="default" w:ascii="Times New Roman" w:hAnsi="Times New Roman" w:eastAsia="仿宋" w:cs="Times New Roman"/>
                <w:spacing w:val="-28"/>
                <w:sz w:val="24"/>
              </w:rPr>
            </w:pPr>
            <w:r>
              <w:rPr>
                <w:rFonts w:hint="default" w:ascii="Times New Roman" w:hAnsi="Times New Roman" w:eastAsia="仿宋" w:cs="Times New Roman"/>
                <w:spacing w:val="-28"/>
                <w:sz w:val="24"/>
              </w:rPr>
              <w:t>180</w:t>
            </w:r>
          </w:p>
        </w:tc>
        <w:tc>
          <w:tcPr>
            <w:tcW w:w="1128" w:type="dxa"/>
            <w:noWrap w:val="0"/>
            <w:vAlign w:val="center"/>
          </w:tcPr>
          <w:p>
            <w:pPr>
              <w:keepNext w:val="0"/>
              <w:keepLines w:val="0"/>
              <w:suppressLineNumbers w:val="0"/>
              <w:spacing w:before="0" w:beforeAutospacing="0" w:after="0" w:afterAutospacing="0" w:line="560" w:lineRule="exact"/>
              <w:ind w:left="0" w:right="0" w:firstLine="368"/>
              <w:jc w:val="center"/>
              <w:rPr>
                <w:rFonts w:hint="default" w:ascii="Times New Roman" w:hAnsi="Times New Roman" w:eastAsia="仿宋" w:cs="Times New Roman"/>
                <w:spacing w:val="-28"/>
                <w:sz w:val="24"/>
                <w:lang w:val="en-US" w:eastAsia="zh-CN"/>
              </w:rPr>
            </w:pPr>
            <w:r>
              <w:rPr>
                <w:rFonts w:hint="default" w:ascii="Times New Roman" w:hAnsi="Times New Roman" w:eastAsia="仿宋" w:cs="Times New Roman"/>
                <w:spacing w:val="-28"/>
                <w:sz w:val="24"/>
                <w:lang w:val="en-US" w:eastAsia="zh-CN"/>
              </w:rPr>
              <w:t>348</w:t>
            </w:r>
          </w:p>
        </w:tc>
        <w:tc>
          <w:tcPr>
            <w:tcW w:w="1282" w:type="dxa"/>
            <w:noWrap w:val="0"/>
            <w:vAlign w:val="center"/>
          </w:tcPr>
          <w:p>
            <w:pPr>
              <w:keepNext w:val="0"/>
              <w:keepLines w:val="0"/>
              <w:suppressLineNumbers w:val="0"/>
              <w:spacing w:before="0" w:beforeAutospacing="0" w:after="0" w:afterAutospacing="0" w:line="560" w:lineRule="exact"/>
              <w:ind w:left="0" w:right="0" w:firstLine="368"/>
              <w:jc w:val="center"/>
              <w:rPr>
                <w:rFonts w:hint="default" w:ascii="Times New Roman" w:hAnsi="Times New Roman" w:eastAsia="仿宋" w:cs="Times New Roman"/>
                <w:spacing w:val="-28"/>
                <w:sz w:val="24"/>
                <w:lang w:val="en-US" w:eastAsia="zh-CN"/>
              </w:rPr>
            </w:pPr>
            <w:r>
              <w:rPr>
                <w:rFonts w:hint="default" w:ascii="Times New Roman" w:hAnsi="Times New Roman" w:eastAsia="仿宋" w:cs="Times New Roman"/>
                <w:spacing w:val="-28"/>
                <w:sz w:val="24"/>
              </w:rPr>
              <w:t>30</w:t>
            </w:r>
            <w:r>
              <w:rPr>
                <w:rFonts w:hint="default" w:ascii="Times New Roman" w:hAnsi="Times New Roman" w:eastAsia="仿宋" w:cs="Times New Roman"/>
                <w:spacing w:val="-28"/>
                <w:sz w:val="24"/>
                <w:lang w:val="en-US" w:eastAsia="zh-CN"/>
              </w:rPr>
              <w:t>8</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textAlignment w:val="auto"/>
        <w:rPr>
          <w:rFonts w:hint="eastAsia" w:ascii="仿宋" w:hAnsi="仿宋" w:eastAsia="仿宋" w:cs="仿宋"/>
          <w:bCs w:val="0"/>
          <w:kern w:val="2"/>
          <w:sz w:val="32"/>
          <w:szCs w:val="32"/>
        </w:rPr>
      </w:pPr>
      <w:r>
        <w:rPr>
          <w:rFonts w:hint="default" w:ascii="Times New Roman" w:hAnsi="Times New Roman" w:eastAsia="仿宋" w:cs="Times New Roman"/>
          <w:b w:val="0"/>
          <w:bCs/>
          <w:kern w:val="0"/>
          <w:sz w:val="32"/>
          <w:szCs w:val="32"/>
        </w:rPr>
        <w:t>（2）</w:t>
      </w:r>
      <w:r>
        <w:rPr>
          <w:rFonts w:hint="eastAsia" w:ascii="仿宋" w:hAnsi="仿宋" w:eastAsia="仿宋" w:cs="仿宋"/>
          <w:b w:val="0"/>
          <w:bCs w:val="0"/>
          <w:kern w:val="2"/>
          <w:sz w:val="32"/>
          <w:szCs w:val="32"/>
        </w:rPr>
        <w:t>单招/对口联合测试工作。</w:t>
      </w:r>
      <w:r>
        <w:rPr>
          <w:rFonts w:hint="eastAsia" w:ascii="仿宋" w:hAnsi="仿宋" w:eastAsia="仿宋" w:cs="仿宋"/>
          <w:bCs w:val="0"/>
          <w:kern w:val="2"/>
          <w:sz w:val="32"/>
          <w:szCs w:val="32"/>
        </w:rPr>
        <w:t>单招、对口生源数量充足</w:t>
      </w:r>
      <w:r>
        <w:rPr>
          <w:rFonts w:hint="eastAsia" w:ascii="仿宋" w:hAnsi="仿宋" w:eastAsia="仿宋" w:cs="仿宋"/>
          <w:bCs w:val="0"/>
          <w:kern w:val="2"/>
          <w:sz w:val="32"/>
          <w:szCs w:val="32"/>
          <w:lang w:eastAsia="zh-CN"/>
        </w:rPr>
        <w:t>，单招对口一志愿报考我校人数位居联盟院校前列。</w:t>
      </w:r>
      <w:r>
        <w:rPr>
          <w:rFonts w:hint="eastAsia" w:ascii="仿宋" w:hAnsi="仿宋" w:eastAsia="仿宋" w:cs="仿宋"/>
          <w:bCs w:val="0"/>
          <w:kern w:val="2"/>
          <w:sz w:val="32"/>
          <w:szCs w:val="32"/>
          <w:lang w:val="en-US" w:eastAsia="zh-CN"/>
        </w:rPr>
        <w:t>2021年我校</w:t>
      </w:r>
      <w:r>
        <w:rPr>
          <w:rFonts w:hint="eastAsia" w:ascii="仿宋" w:hAnsi="仿宋" w:eastAsia="仿宋" w:cs="仿宋"/>
          <w:bCs w:val="0"/>
          <w:kern w:val="2"/>
          <w:sz w:val="32"/>
          <w:szCs w:val="32"/>
        </w:rPr>
        <w:t>单招招生计划3243个，单招一志愿投档数为5477人，招生计划与一志愿报考人数比例为1：1.69，录取人数3243人，一志愿录取率为59.21%。对口招生计划1646个，对口一志愿投档数为2679人，招生计划与一志愿报考人数比例为1：1.63，录取人数1646人，一志愿的录取率为61.44%。</w:t>
      </w:r>
    </w:p>
    <w:p>
      <w:pPr>
        <w:pageBreakBefore w:val="0"/>
        <w:kinsoku/>
        <w:wordWrap/>
        <w:overflowPunct/>
        <w:topLinePunct w:val="0"/>
        <w:bidi w:val="0"/>
        <w:spacing w:line="560" w:lineRule="exact"/>
        <w:ind w:left="0" w:leftChars="0" w:right="0" w:rightChars="0" w:firstLine="320" w:firstLineChars="100"/>
        <w:textAlignment w:val="auto"/>
        <w:rPr>
          <w:rFonts w:hint="eastAsia" w:ascii="仿宋" w:hAnsi="仿宋" w:eastAsia="仿宋" w:cs="仿宋"/>
          <w:sz w:val="32"/>
          <w:szCs w:val="32"/>
        </w:rPr>
      </w:pPr>
      <w:r>
        <w:rPr>
          <w:rFonts w:hint="eastAsia" w:ascii="仿宋" w:hAnsi="仿宋" w:eastAsia="仿宋" w:cs="仿宋"/>
          <w:b w:val="0"/>
          <w:bCs w:val="0"/>
          <w:kern w:val="2"/>
          <w:sz w:val="32"/>
          <w:szCs w:val="32"/>
        </w:rPr>
        <w:t>（3）中职2+3合作办学工作。</w:t>
      </w:r>
      <w:r>
        <w:rPr>
          <w:rFonts w:hint="eastAsia" w:ascii="仿宋" w:hAnsi="仿宋" w:eastAsia="仿宋" w:cs="仿宋"/>
          <w:bCs w:val="0"/>
          <w:kern w:val="2"/>
          <w:sz w:val="32"/>
          <w:szCs w:val="32"/>
          <w:lang w:val="en-US" w:eastAsia="zh-CN"/>
        </w:rPr>
        <w:t>2021年</w:t>
      </w:r>
      <w:r>
        <w:rPr>
          <w:rFonts w:hint="eastAsia" w:ascii="仿宋" w:hAnsi="仿宋" w:eastAsia="仿宋" w:cs="仿宋"/>
          <w:bCs w:val="0"/>
          <w:kern w:val="2"/>
          <w:sz w:val="32"/>
          <w:szCs w:val="32"/>
        </w:rPr>
        <w:t>我校</w:t>
      </w:r>
      <w:r>
        <w:rPr>
          <w:rFonts w:hint="eastAsia" w:ascii="仿宋" w:hAnsi="仿宋" w:eastAsia="仿宋" w:cs="仿宋"/>
          <w:bCs w:val="0"/>
          <w:kern w:val="2"/>
          <w:sz w:val="32"/>
          <w:szCs w:val="32"/>
          <w:lang w:val="en-US" w:eastAsia="zh-CN"/>
        </w:rPr>
        <w:t>继续</w:t>
      </w:r>
      <w:r>
        <w:rPr>
          <w:rFonts w:hint="eastAsia" w:ascii="仿宋" w:hAnsi="仿宋" w:eastAsia="仿宋" w:cs="仿宋"/>
          <w:bCs w:val="0"/>
          <w:kern w:val="2"/>
          <w:sz w:val="32"/>
          <w:szCs w:val="32"/>
        </w:rPr>
        <w:t>与广西城市建设学校、广西工商学校、南宁市第一职业技术学校、南宁市第三职业技术学校、广西都安县职业教育中心、广西藤县中等专业学校、浦北县第一职业技术学校</w:t>
      </w:r>
      <w:r>
        <w:rPr>
          <w:rFonts w:hint="eastAsia" w:ascii="仿宋" w:hAnsi="仿宋" w:eastAsia="仿宋" w:cs="仿宋"/>
          <w:bCs w:val="0"/>
          <w:sz w:val="32"/>
          <w:szCs w:val="32"/>
        </w:rPr>
        <w:t>7</w:t>
      </w:r>
      <w:r>
        <w:rPr>
          <w:rFonts w:hint="eastAsia" w:ascii="仿宋" w:hAnsi="仿宋" w:eastAsia="仿宋" w:cs="仿宋"/>
          <w:bCs w:val="0"/>
          <w:kern w:val="2"/>
          <w:sz w:val="32"/>
          <w:szCs w:val="32"/>
        </w:rPr>
        <w:t>所</w:t>
      </w:r>
      <w:r>
        <w:rPr>
          <w:rFonts w:hint="eastAsia" w:ascii="仿宋" w:hAnsi="仿宋" w:eastAsia="仿宋" w:cs="仿宋"/>
          <w:bCs w:val="0"/>
          <w:sz w:val="32"/>
          <w:szCs w:val="32"/>
        </w:rPr>
        <w:t>中职学校联合</w:t>
      </w:r>
      <w:r>
        <w:rPr>
          <w:rFonts w:hint="eastAsia" w:ascii="仿宋" w:hAnsi="仿宋" w:eastAsia="仿宋" w:cs="仿宋"/>
          <w:bCs w:val="0"/>
          <w:kern w:val="2"/>
          <w:sz w:val="32"/>
          <w:szCs w:val="32"/>
        </w:rPr>
        <w:t>开展“</w:t>
      </w:r>
      <w:r>
        <w:rPr>
          <w:rFonts w:hint="eastAsia" w:ascii="仿宋" w:hAnsi="仿宋" w:eastAsia="仿宋" w:cs="仿宋"/>
          <w:bCs w:val="0"/>
          <w:sz w:val="32"/>
          <w:szCs w:val="32"/>
        </w:rPr>
        <w:t>2+3</w:t>
      </w:r>
      <w:r>
        <w:rPr>
          <w:rFonts w:hint="eastAsia" w:ascii="仿宋" w:hAnsi="仿宋" w:eastAsia="仿宋" w:cs="仿宋"/>
          <w:bCs w:val="0"/>
          <w:kern w:val="2"/>
          <w:sz w:val="32"/>
          <w:szCs w:val="32"/>
        </w:rPr>
        <w:t>”</w:t>
      </w:r>
      <w:r>
        <w:rPr>
          <w:rFonts w:hint="eastAsia" w:ascii="仿宋" w:hAnsi="仿宋" w:eastAsia="仿宋" w:cs="仿宋"/>
          <w:bCs w:val="0"/>
          <w:sz w:val="32"/>
          <w:szCs w:val="32"/>
        </w:rPr>
        <w:t>中高职合作办学</w:t>
      </w:r>
      <w:r>
        <w:rPr>
          <w:rFonts w:hint="eastAsia" w:ascii="仿宋" w:hAnsi="仿宋" w:eastAsia="仿宋" w:cs="仿宋"/>
          <w:bCs w:val="0"/>
          <w:kern w:val="2"/>
          <w:sz w:val="32"/>
          <w:szCs w:val="32"/>
        </w:rPr>
        <w:t>；与广西城市建设学校深度合作，实施中高职联合培养办学，高职扩招专项计划即社会</w:t>
      </w:r>
      <w:r>
        <w:rPr>
          <w:rFonts w:hint="eastAsia" w:ascii="仿宋" w:hAnsi="仿宋" w:eastAsia="仿宋" w:cs="仿宋"/>
          <w:sz w:val="32"/>
          <w:szCs w:val="32"/>
        </w:rPr>
        <w:t>人员学历提升计划录取新生32人。</w:t>
      </w:r>
    </w:p>
    <w:p>
      <w:pPr>
        <w:pageBreakBefore w:val="0"/>
        <w:kinsoku/>
        <w:wordWrap/>
        <w:overflowPunct/>
        <w:topLinePunct w:val="0"/>
        <w:bidi w:val="0"/>
        <w:spacing w:line="56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年，我校</w:t>
      </w:r>
      <w:r>
        <w:rPr>
          <w:rFonts w:hint="eastAsia" w:ascii="仿宋" w:hAnsi="仿宋" w:eastAsia="仿宋" w:cs="仿宋"/>
          <w:bCs w:val="0"/>
          <w:sz w:val="32"/>
          <w:szCs w:val="32"/>
        </w:rPr>
        <w:t>新生报到</w:t>
      </w:r>
      <w:r>
        <w:rPr>
          <w:rFonts w:hint="eastAsia" w:ascii="仿宋" w:hAnsi="仿宋" w:eastAsia="仿宋" w:cs="仿宋"/>
          <w:bCs w:val="0"/>
          <w:sz w:val="32"/>
          <w:szCs w:val="32"/>
          <w:lang w:val="en-US" w:eastAsia="zh-CN"/>
        </w:rPr>
        <w:t>形势喜人，报到</w:t>
      </w:r>
      <w:r>
        <w:rPr>
          <w:rFonts w:hint="eastAsia" w:ascii="仿宋" w:hAnsi="仿宋" w:eastAsia="仿宋" w:cs="仿宋"/>
          <w:bCs w:val="0"/>
          <w:sz w:val="32"/>
          <w:szCs w:val="32"/>
        </w:rPr>
        <w:t>人数7526人，新</w:t>
      </w:r>
      <w:r>
        <w:rPr>
          <w:rFonts w:hint="eastAsia" w:ascii="仿宋" w:hAnsi="仿宋" w:eastAsia="仿宋" w:cs="仿宋"/>
          <w:sz w:val="32"/>
          <w:szCs w:val="32"/>
        </w:rPr>
        <w:t>生报到率达到93.89%</w:t>
      </w:r>
      <w:r>
        <w:rPr>
          <w:rFonts w:hint="eastAsia" w:ascii="仿宋" w:hAnsi="仿宋" w:eastAsia="仿宋" w:cs="仿宋"/>
          <w:sz w:val="32"/>
          <w:szCs w:val="32"/>
          <w:lang w:eastAsia="zh-CN"/>
        </w:rPr>
        <w:t>，</w:t>
      </w:r>
      <w:r>
        <w:rPr>
          <w:rFonts w:hint="eastAsia" w:ascii="仿宋" w:hAnsi="仿宋" w:eastAsia="仿宋" w:cs="仿宋"/>
          <w:sz w:val="32"/>
          <w:szCs w:val="32"/>
        </w:rPr>
        <w:t>位居广西高职院校新生报到率前列。</w:t>
      </w:r>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24" w:name="_Toc6990"/>
      <w:r>
        <w:rPr>
          <w:rFonts w:hint="default" w:ascii="Times New Roman" w:hAnsi="Times New Roman" w:eastAsia="楷体" w:cs="Times New Roman"/>
          <w:b/>
          <w:bCs/>
          <w:color w:val="auto"/>
          <w:sz w:val="32"/>
          <w:szCs w:val="32"/>
          <w:highlight w:val="none"/>
          <w:lang w:val="en-US" w:eastAsia="zh-CN"/>
        </w:rPr>
        <w:t>（五）师生荣誉</w:t>
      </w:r>
      <w:bookmarkEnd w:id="24"/>
    </w:p>
    <w:p>
      <w:pPr>
        <w:pageBreakBefore w:val="0"/>
        <w:kinsoku/>
        <w:wordWrap/>
        <w:overflowPunct/>
        <w:topLinePunct w:val="0"/>
        <w:bidi w:val="0"/>
        <w:spacing w:line="560" w:lineRule="exact"/>
        <w:ind w:left="0" w:leftChars="0" w:right="0" w:rightChars="0" w:firstLine="643" w:firstLineChars="200"/>
        <w:textAlignment w:val="auto"/>
        <w:rPr>
          <w:rFonts w:hint="eastAsia" w:ascii="仿宋" w:hAnsi="仿宋" w:eastAsia="仿宋" w:cs="仿宋"/>
          <w:b/>
          <w:bCs/>
          <w:sz w:val="32"/>
          <w:szCs w:val="32"/>
          <w:lang w:val="en-US" w:eastAsia="zh-CN"/>
        </w:rPr>
      </w:pPr>
      <w:bookmarkStart w:id="25" w:name="_Toc14754"/>
      <w:r>
        <w:rPr>
          <w:rFonts w:hint="eastAsia" w:ascii="仿宋" w:hAnsi="仿宋" w:eastAsia="仿宋" w:cs="仿宋"/>
          <w:b/>
          <w:bCs/>
          <w:sz w:val="32"/>
          <w:szCs w:val="32"/>
          <w:lang w:val="en-US" w:eastAsia="zh-CN"/>
        </w:rPr>
        <w:t>1.教师荣誉</w:t>
      </w:r>
      <w:bookmarkEnd w:id="25"/>
    </w:p>
    <w:p>
      <w:pPr>
        <w:pageBreakBefore w:val="0"/>
        <w:kinsoku/>
        <w:wordWrap/>
        <w:overflowPunct/>
        <w:topLinePunct w:val="0"/>
        <w:bidi w:val="0"/>
        <w:spacing w:line="560" w:lineRule="exact"/>
        <w:ind w:left="0" w:leftChars="0" w:right="0" w:rightChars="0" w:firstLine="640" w:firstLineChars="200"/>
        <w:textAlignment w:val="auto"/>
        <w:rPr>
          <w:rFonts w:hint="eastAsia" w:ascii="仿宋" w:hAnsi="仿宋" w:eastAsia="仿宋" w:cs="仿宋"/>
          <w:sz w:val="32"/>
          <w:szCs w:val="32"/>
          <w:shd w:val="clear"/>
        </w:rPr>
      </w:pPr>
      <w:bookmarkStart w:id="26" w:name="_Toc9552_WPSOffice_Level3"/>
      <w:r>
        <w:rPr>
          <w:rFonts w:hint="eastAsia" w:ascii="仿宋" w:hAnsi="仿宋" w:eastAsia="仿宋" w:cs="仿宋"/>
          <w:b w:val="0"/>
          <w:bCs w:val="0"/>
          <w:sz w:val="32"/>
          <w:szCs w:val="32"/>
          <w:lang w:val="en-US" w:eastAsia="zh-CN"/>
        </w:rPr>
        <w:t>一是</w:t>
      </w:r>
      <w:r>
        <w:rPr>
          <w:rFonts w:hint="eastAsia" w:ascii="仿宋" w:hAnsi="仿宋" w:eastAsia="仿宋" w:cs="仿宋"/>
          <w:b w:val="0"/>
          <w:bCs w:val="0"/>
          <w:sz w:val="32"/>
          <w:szCs w:val="32"/>
        </w:rPr>
        <w:t>教师教学技能竞赛</w:t>
      </w:r>
      <w:bookmarkEnd w:id="26"/>
      <w:r>
        <w:rPr>
          <w:rFonts w:hint="eastAsia" w:ascii="仿宋" w:hAnsi="仿宋" w:eastAsia="仿宋" w:cs="仿宋"/>
          <w:b w:val="0"/>
          <w:bCs w:val="0"/>
          <w:sz w:val="32"/>
          <w:szCs w:val="32"/>
        </w:rPr>
        <w:t>成绩良好</w:t>
      </w:r>
      <w:r>
        <w:rPr>
          <w:rFonts w:hint="eastAsia" w:ascii="仿宋" w:hAnsi="仿宋" w:eastAsia="仿宋" w:cs="仿宋"/>
          <w:b w:val="0"/>
          <w:bCs w:val="0"/>
          <w:sz w:val="32"/>
          <w:szCs w:val="32"/>
          <w:lang w:eastAsia="zh-CN"/>
        </w:rPr>
        <w:t>。</w:t>
      </w:r>
      <w:r>
        <w:rPr>
          <w:rFonts w:hint="eastAsia" w:ascii="仿宋" w:hAnsi="仿宋" w:eastAsia="仿宋" w:cs="仿宋"/>
          <w:sz w:val="32"/>
          <w:szCs w:val="32"/>
        </w:rPr>
        <w:t>2021年，我校积极组织教师参加国家、</w:t>
      </w:r>
      <w:r>
        <w:rPr>
          <w:rFonts w:hint="eastAsia" w:ascii="仿宋" w:hAnsi="仿宋" w:eastAsia="仿宋" w:cs="仿宋"/>
          <w:sz w:val="32"/>
          <w:szCs w:val="32"/>
          <w:shd w:val="clear"/>
        </w:rPr>
        <w:t>自治区教学能力比赛。</w:t>
      </w:r>
      <w:r>
        <w:rPr>
          <w:rFonts w:hint="eastAsia" w:ascii="仿宋" w:hAnsi="仿宋" w:eastAsia="仿宋" w:cs="仿宋"/>
          <w:sz w:val="32"/>
          <w:szCs w:val="32"/>
          <w:shd w:val="clear"/>
          <w:lang w:eastAsia="zh-CN"/>
        </w:rPr>
        <w:t>截至</w:t>
      </w:r>
      <w:r>
        <w:rPr>
          <w:rFonts w:hint="eastAsia" w:ascii="仿宋" w:hAnsi="仿宋" w:eastAsia="仿宋" w:cs="仿宋"/>
          <w:sz w:val="32"/>
          <w:szCs w:val="32"/>
          <w:shd w:val="clear"/>
        </w:rPr>
        <w:t>11月，广西职业院校教学能力大赛获得一等奖2项，二等奖1项，三等奖3项，入围国赛1项。在第十届广西高校辅导员素质能力大赛中荣获一等奖2名。获2020年度广西高校辅导员年度人物1名</w:t>
      </w:r>
      <w:r>
        <w:rPr>
          <w:rFonts w:hint="eastAsia" w:ascii="仿宋" w:hAnsi="仿宋" w:eastAsia="仿宋" w:cs="仿宋"/>
          <w:sz w:val="32"/>
          <w:szCs w:val="32"/>
          <w:shd w:val="clear"/>
          <w:lang w:eastAsia="zh-CN"/>
        </w:rPr>
        <w:t>，</w:t>
      </w:r>
      <w:r>
        <w:rPr>
          <w:rFonts w:hint="eastAsia" w:ascii="仿宋" w:hAnsi="仿宋" w:eastAsia="仿宋" w:cs="仿宋"/>
          <w:sz w:val="32"/>
          <w:szCs w:val="32"/>
          <w:shd w:val="clear"/>
        </w:rPr>
        <w:t>入围全国第十三届“高校辅导员年度人物”推荐参评名单1名</w:t>
      </w:r>
      <w:r>
        <w:rPr>
          <w:rFonts w:hint="eastAsia" w:ascii="仿宋" w:hAnsi="仿宋" w:eastAsia="仿宋" w:cs="仿宋"/>
          <w:sz w:val="32"/>
          <w:szCs w:val="32"/>
          <w:shd w:val="clear"/>
          <w:lang w:eastAsia="zh-CN"/>
        </w:rPr>
        <w:t>，</w:t>
      </w:r>
      <w:r>
        <w:rPr>
          <w:rFonts w:hint="eastAsia" w:ascii="仿宋" w:hAnsi="仿宋" w:eastAsia="仿宋" w:cs="仿宋"/>
          <w:sz w:val="32"/>
          <w:szCs w:val="32"/>
          <w:shd w:val="clear"/>
        </w:rPr>
        <w:t>获评全区“最美资助人”1名。</w:t>
      </w:r>
    </w:p>
    <w:p>
      <w:pPr>
        <w:spacing w:line="560" w:lineRule="exact"/>
        <w:ind w:firstLine="640" w:firstLineChars="200"/>
        <w:rPr>
          <w:rFonts w:hint="eastAsia" w:ascii="仿宋" w:hAnsi="仿宋" w:eastAsia="仿宋" w:cs="仿宋"/>
          <w:sz w:val="32"/>
          <w:szCs w:val="32"/>
          <w:shd w:val="clear"/>
        </w:rPr>
      </w:pPr>
      <w:r>
        <w:rPr>
          <w:rFonts w:hint="eastAsia" w:ascii="仿宋" w:hAnsi="仿宋" w:eastAsia="仿宋" w:cs="仿宋"/>
          <w:b w:val="0"/>
          <w:bCs w:val="0"/>
          <w:sz w:val="32"/>
          <w:szCs w:val="32"/>
          <w:shd w:val="clear"/>
          <w:lang w:val="en-US" w:eastAsia="zh-CN"/>
        </w:rPr>
        <w:t>二是</w:t>
      </w:r>
      <w:r>
        <w:rPr>
          <w:rFonts w:hint="eastAsia" w:ascii="仿宋" w:hAnsi="仿宋" w:eastAsia="仿宋" w:cs="仿宋"/>
          <w:b w:val="0"/>
          <w:bCs w:val="0"/>
          <w:sz w:val="32"/>
          <w:szCs w:val="32"/>
          <w:shd w:val="clear"/>
        </w:rPr>
        <w:t>教材建设成果有新突破</w:t>
      </w:r>
      <w:r>
        <w:rPr>
          <w:rFonts w:hint="eastAsia" w:ascii="仿宋" w:hAnsi="仿宋" w:eastAsia="仿宋" w:cs="仿宋"/>
          <w:b w:val="0"/>
          <w:bCs w:val="0"/>
          <w:sz w:val="32"/>
          <w:szCs w:val="32"/>
          <w:shd w:val="clear"/>
          <w:lang w:eastAsia="zh-CN"/>
        </w:rPr>
        <w:t>。</w:t>
      </w:r>
      <w:r>
        <w:rPr>
          <w:rFonts w:hint="eastAsia" w:ascii="仿宋" w:hAnsi="仿宋" w:eastAsia="仿宋" w:cs="仿宋"/>
          <w:sz w:val="32"/>
          <w:szCs w:val="32"/>
          <w:shd w:val="clear"/>
        </w:rPr>
        <w:t>2021年，我校文桂萍教授荣获“全国教材建设先进个人”称号；李向民教授主编的教材《建筑工程测量》（第2版）荣获全国优秀教材（职业教育与继续教育类）二等奖。这是我校全面推进中国特色高水平高职学校建设，落实职业教育提质培优行动计划，不断深化教育教学改革和教材建设工作取得的又一标志性成果。</w:t>
      </w:r>
    </w:p>
    <w:p>
      <w:pPr>
        <w:spacing w:line="560" w:lineRule="exact"/>
        <w:ind w:firstLine="640" w:firstLineChars="200"/>
        <w:rPr>
          <w:rFonts w:hint="eastAsia" w:ascii="仿宋" w:hAnsi="仿宋" w:eastAsia="仿宋" w:cs="仿宋"/>
          <w:kern w:val="2"/>
          <w:sz w:val="32"/>
          <w:szCs w:val="32"/>
          <w:lang w:val="en-US" w:eastAsia="zh-CN"/>
        </w:rPr>
      </w:pPr>
      <w:r>
        <w:rPr>
          <w:rFonts w:hint="eastAsia" w:ascii="仿宋" w:hAnsi="仿宋" w:eastAsia="仿宋" w:cs="仿宋"/>
          <w:b w:val="0"/>
          <w:bCs w:val="0"/>
          <w:sz w:val="32"/>
          <w:szCs w:val="32"/>
          <w:shd w:val="clear"/>
          <w:lang w:val="en-US" w:eastAsia="zh-CN"/>
        </w:rPr>
        <w:t>三是</w:t>
      </w:r>
      <w:r>
        <w:rPr>
          <w:rFonts w:hint="eastAsia" w:ascii="仿宋" w:hAnsi="仿宋" w:eastAsia="仿宋" w:cs="仿宋"/>
          <w:b w:val="0"/>
          <w:bCs w:val="0"/>
          <w:sz w:val="32"/>
          <w:szCs w:val="32"/>
          <w:shd w:val="clear"/>
        </w:rPr>
        <w:t>课程建设成效显著</w:t>
      </w:r>
      <w:r>
        <w:rPr>
          <w:rFonts w:hint="eastAsia" w:ascii="仿宋" w:hAnsi="仿宋" w:eastAsia="仿宋" w:cs="仿宋"/>
          <w:b w:val="0"/>
          <w:bCs w:val="0"/>
          <w:sz w:val="32"/>
          <w:szCs w:val="32"/>
          <w:shd w:val="clear"/>
          <w:lang w:eastAsia="zh-CN"/>
        </w:rPr>
        <w:t>。</w:t>
      </w:r>
      <w:r>
        <w:rPr>
          <w:rFonts w:hint="eastAsia" w:ascii="仿宋" w:hAnsi="仿宋" w:eastAsia="仿宋" w:cs="仿宋"/>
          <w:sz w:val="32"/>
          <w:szCs w:val="32"/>
          <w:shd w:val="clear"/>
        </w:rPr>
        <w:t>《混凝土结构平法施工图识读》（庞毅玲老师主持）《建筑装饰简史》（刘宇青老师主持）获评为2021年自治区级职业教育在线精品课程。</w:t>
      </w:r>
      <w:r>
        <w:rPr>
          <w:rFonts w:hint="eastAsia" w:ascii="仿宋" w:hAnsi="仿宋" w:eastAsia="仿宋" w:cs="仿宋"/>
          <w:sz w:val="32"/>
          <w:szCs w:val="32"/>
          <w:shd w:val="clear"/>
          <w:lang w:eastAsia="zh-CN"/>
        </w:rPr>
        <w:t>截至目前</w:t>
      </w:r>
      <w:r>
        <w:rPr>
          <w:rFonts w:hint="eastAsia" w:ascii="仿宋" w:hAnsi="仿宋" w:eastAsia="仿宋" w:cs="仿宋"/>
          <w:sz w:val="32"/>
          <w:szCs w:val="32"/>
          <w:shd w:val="clear"/>
        </w:rPr>
        <w:t>，我校共4门课程获评为在线精品课程。我校《建筑力学（上）》课程（江怀雁老师领衔的教学团队）、《建筑工程测量》（蒋霖老师领衔的教学团队）成功获评为国家级课程思政示范课程；</w:t>
      </w:r>
      <w:r>
        <w:rPr>
          <w:rFonts w:hint="eastAsia" w:ascii="仿宋" w:hAnsi="仿宋" w:eastAsia="仿宋" w:cs="仿宋"/>
          <w:sz w:val="32"/>
          <w:szCs w:val="32"/>
          <w:shd w:val="clear"/>
          <w:lang w:val="en-US" w:eastAsia="zh-CN"/>
        </w:rPr>
        <w:t>此外，</w:t>
      </w:r>
      <w:r>
        <w:rPr>
          <w:rFonts w:hint="eastAsia" w:ascii="仿宋" w:hAnsi="仿宋" w:eastAsia="仿宋" w:cs="仿宋"/>
          <w:sz w:val="32"/>
          <w:szCs w:val="32"/>
          <w:shd w:val="clear"/>
        </w:rPr>
        <w:t>7门课程获评2021年自治区课程思政示范课程。</w:t>
      </w:r>
    </w:p>
    <w:p>
      <w:pPr>
        <w:pageBreakBefore w:val="0"/>
        <w:kinsoku/>
        <w:wordWrap/>
        <w:overflowPunct/>
        <w:topLinePunct w:val="0"/>
        <w:bidi w:val="0"/>
        <w:spacing w:line="56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rPr>
        <w:t>四是注重培育名师。</w:t>
      </w:r>
      <w:r>
        <w:rPr>
          <w:rFonts w:hint="eastAsia" w:ascii="仿宋" w:hAnsi="仿宋" w:eastAsia="仿宋" w:cs="仿宋"/>
          <w:kern w:val="2"/>
          <w:sz w:val="32"/>
          <w:szCs w:val="32"/>
          <w:lang w:val="en-US" w:eastAsia="zh-CN"/>
        </w:rPr>
        <w:t>2021年，我校有6名教师荣获省部级“优秀创新创业导师”荣誉称号，1名教师荣获国家级“优秀创新创业导师”荣誉称号。</w:t>
      </w:r>
      <w:r>
        <w:rPr>
          <w:rFonts w:hint="eastAsia" w:ascii="仿宋" w:hAnsi="仿宋" w:eastAsia="仿宋" w:cs="仿宋"/>
          <w:b w:val="0"/>
          <w:i w:val="0"/>
          <w:caps w:val="0"/>
          <w:spacing w:val="0"/>
          <w:w w:val="100"/>
          <w:sz w:val="32"/>
          <w:szCs w:val="32"/>
          <w:lang w:val="en-US" w:eastAsia="zh-CN"/>
        </w:rPr>
        <w:t>2021年培育校级教学名师3人。同时，我校成功入选教育部第二批人工智能助推教师队伍建设行动试点高校，全国仅有4所高职院校入选，我校是广西唯一入选的高职院校，为提升教师教学能力和教</w:t>
      </w:r>
      <w:r>
        <w:rPr>
          <w:rFonts w:hint="eastAsia" w:ascii="仿宋" w:hAnsi="仿宋" w:eastAsia="仿宋" w:cs="仿宋"/>
          <w:sz w:val="32"/>
          <w:szCs w:val="32"/>
          <w:lang w:val="en-US" w:eastAsia="zh-CN"/>
        </w:rPr>
        <w:t>学改革提供新的机遇。</w:t>
      </w:r>
    </w:p>
    <w:p>
      <w:pPr>
        <w:pageBreakBefore w:val="0"/>
        <w:kinsoku/>
        <w:wordWrap/>
        <w:overflowPunct/>
        <w:topLinePunct w:val="0"/>
        <w:bidi w:val="0"/>
        <w:spacing w:line="560" w:lineRule="exact"/>
        <w:ind w:left="0" w:leftChars="0" w:right="0" w:rightChars="0" w:firstLine="643" w:firstLineChars="200"/>
        <w:textAlignment w:val="auto"/>
        <w:rPr>
          <w:rFonts w:hint="eastAsia" w:ascii="仿宋" w:hAnsi="仿宋" w:eastAsia="仿宋" w:cs="仿宋"/>
          <w:b/>
          <w:bCs/>
          <w:sz w:val="32"/>
          <w:szCs w:val="32"/>
          <w:lang w:eastAsia="zh-CN"/>
        </w:rPr>
      </w:pPr>
      <w:bookmarkStart w:id="27" w:name="_Toc3102"/>
      <w:r>
        <w:rPr>
          <w:rFonts w:hint="eastAsia" w:ascii="仿宋" w:hAnsi="仿宋" w:eastAsia="仿宋" w:cs="仿宋"/>
          <w:b/>
          <w:bCs/>
          <w:sz w:val="32"/>
          <w:szCs w:val="32"/>
          <w:lang w:val="en-US" w:eastAsia="zh-CN"/>
        </w:rPr>
        <w:t>2.学生荣誉</w:t>
      </w:r>
      <w:bookmarkEnd w:id="27"/>
    </w:p>
    <w:p>
      <w:pPr>
        <w:pageBreakBefore w:val="0"/>
        <w:kinsoku/>
        <w:wordWrap/>
        <w:overflowPunct/>
        <w:topLinePunct w:val="0"/>
        <w:bidi w:val="0"/>
        <w:spacing w:line="560" w:lineRule="exact"/>
        <w:ind w:left="0" w:leftChars="0" w:right="0" w:rightChars="0" w:firstLine="640" w:firstLineChars="200"/>
        <w:textAlignment w:val="auto"/>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bCs w:val="0"/>
          <w:sz w:val="32"/>
          <w:szCs w:val="32"/>
          <w:lang w:val="en-US" w:eastAsia="zh-CN"/>
        </w:rPr>
        <w:t>一是</w:t>
      </w:r>
      <w:r>
        <w:rPr>
          <w:rFonts w:hint="eastAsia" w:ascii="仿宋" w:hAnsi="仿宋" w:eastAsia="仿宋" w:cs="仿宋"/>
          <w:b w:val="0"/>
          <w:bCs w:val="0"/>
          <w:sz w:val="32"/>
          <w:szCs w:val="32"/>
        </w:rPr>
        <w:t>学生</w:t>
      </w:r>
      <w:r>
        <w:rPr>
          <w:rFonts w:hint="eastAsia" w:ascii="仿宋" w:hAnsi="仿宋" w:eastAsia="仿宋" w:cs="仿宋"/>
          <w:b w:val="0"/>
          <w:bCs w:val="0"/>
          <w:sz w:val="32"/>
          <w:szCs w:val="32"/>
          <w:lang w:val="en-US" w:eastAsia="zh-CN"/>
        </w:rPr>
        <w:t>思想政治教育</w:t>
      </w:r>
      <w:r>
        <w:rPr>
          <w:rFonts w:hint="eastAsia" w:ascii="仿宋" w:hAnsi="仿宋" w:eastAsia="仿宋" w:cs="仿宋"/>
          <w:b w:val="0"/>
          <w:bCs w:val="0"/>
          <w:sz w:val="32"/>
          <w:szCs w:val="32"/>
        </w:rPr>
        <w:t>活动成效明显</w:t>
      </w:r>
      <w:r>
        <w:rPr>
          <w:rFonts w:hint="eastAsia" w:ascii="仿宋" w:hAnsi="仿宋" w:eastAsia="仿宋" w:cs="仿宋"/>
          <w:b w:val="0"/>
          <w:bCs w:val="0"/>
          <w:sz w:val="32"/>
          <w:szCs w:val="32"/>
          <w:lang w:eastAsia="zh-CN"/>
        </w:rPr>
        <w:t>。</w:t>
      </w:r>
      <w:r>
        <w:rPr>
          <w:rFonts w:hint="eastAsia" w:ascii="仿宋" w:hAnsi="仿宋" w:eastAsia="仿宋" w:cs="仿宋"/>
          <w:b w:val="0"/>
          <w:i w:val="0"/>
          <w:caps w:val="0"/>
          <w:spacing w:val="0"/>
          <w:w w:val="100"/>
          <w:sz w:val="32"/>
          <w:szCs w:val="32"/>
          <w:lang w:val="en-US" w:eastAsia="zh-CN"/>
        </w:rPr>
        <w:t>指导学生参加区第七届大学生网络文化节获二等奖1项，三等奖1项。突出特色深化学生内涵活动，开展“庆祝建党百年”等专题活动26场，累计参与近15万人次，激活育人工作内生动力。组织和动员全校学生积极参加广西高校大学生党史知识竞赛，以高职高专第一的成绩晋级线下复赛和决赛，最终荣获三等奖（区内高职高专院校最好成绩）。</w:t>
      </w:r>
    </w:p>
    <w:p>
      <w:pPr>
        <w:widowControl w:val="0"/>
        <w:adjustRightInd w:val="0"/>
        <w:spacing w:before="0" w:beforeAutospacing="0" w:after="0" w:afterAutospacing="0" w:line="560" w:lineRule="exact"/>
        <w:ind w:firstLine="640" w:firstLineChars="200"/>
        <w:jc w:val="both"/>
        <w:rPr>
          <w:rFonts w:hint="eastAsia" w:ascii="仿宋" w:hAnsi="仿宋" w:eastAsia="仿宋" w:cs="仿宋"/>
          <w:kern w:val="2"/>
          <w:sz w:val="32"/>
          <w:szCs w:val="32"/>
          <w:shd w:val="clear"/>
        </w:rPr>
      </w:pPr>
      <w:r>
        <w:rPr>
          <w:rFonts w:hint="eastAsia" w:ascii="仿宋" w:hAnsi="仿宋" w:eastAsia="仿宋" w:cs="仿宋"/>
          <w:b w:val="0"/>
          <w:bCs w:val="0"/>
          <w:kern w:val="2"/>
          <w:sz w:val="32"/>
          <w:szCs w:val="32"/>
          <w:lang w:val="en-US" w:eastAsia="zh-CN"/>
        </w:rPr>
        <w:t>二是创新创业赛事收获标志性成果。2021年，我校学生</w:t>
      </w:r>
      <w:r>
        <w:rPr>
          <w:rFonts w:hint="eastAsia" w:ascii="仿宋" w:hAnsi="仿宋" w:eastAsia="仿宋" w:cs="仿宋"/>
          <w:b w:val="0"/>
          <w:bCs w:val="0"/>
          <w:kern w:val="2"/>
          <w:sz w:val="32"/>
          <w:szCs w:val="32"/>
        </w:rPr>
        <w:t>在</w:t>
      </w:r>
      <w:r>
        <w:rPr>
          <w:rFonts w:hint="eastAsia" w:ascii="仿宋" w:hAnsi="仿宋" w:eastAsia="仿宋" w:cs="仿宋"/>
          <w:b w:val="0"/>
          <w:bCs w:val="0"/>
          <w:kern w:val="2"/>
          <w:sz w:val="32"/>
          <w:szCs w:val="32"/>
          <w:lang w:eastAsia="zh-CN"/>
        </w:rPr>
        <w:t>第七届中国国际“互联网</w:t>
      </w:r>
      <w:r>
        <w:rPr>
          <w:rFonts w:hint="eastAsia" w:ascii="仿宋" w:hAnsi="仿宋" w:eastAsia="仿宋" w:cs="仿宋"/>
          <w:b w:val="0"/>
          <w:bCs w:val="0"/>
          <w:kern w:val="2"/>
          <w:sz w:val="32"/>
          <w:szCs w:val="32"/>
          <w:lang w:val="en-US" w:eastAsia="zh-CN"/>
        </w:rPr>
        <w:t>+</w:t>
      </w:r>
      <w:r>
        <w:rPr>
          <w:rFonts w:hint="eastAsia" w:ascii="仿宋" w:hAnsi="仿宋" w:eastAsia="仿宋" w:cs="仿宋"/>
          <w:b w:val="0"/>
          <w:bCs w:val="0"/>
          <w:kern w:val="2"/>
          <w:sz w:val="32"/>
          <w:szCs w:val="32"/>
          <w:lang w:eastAsia="zh-CN"/>
        </w:rPr>
        <w:t>”大学生创新创业大赛等</w:t>
      </w:r>
      <w:r>
        <w:rPr>
          <w:rFonts w:hint="eastAsia" w:ascii="仿宋" w:hAnsi="仿宋" w:eastAsia="仿宋" w:cs="仿宋"/>
          <w:b w:val="0"/>
          <w:bCs w:val="0"/>
          <w:kern w:val="2"/>
          <w:sz w:val="32"/>
          <w:szCs w:val="32"/>
        </w:rPr>
        <w:t>创新创业</w:t>
      </w:r>
      <w:r>
        <w:rPr>
          <w:rFonts w:hint="eastAsia" w:ascii="仿宋" w:hAnsi="仿宋" w:eastAsia="仿宋" w:cs="仿宋"/>
          <w:b w:val="0"/>
          <w:bCs w:val="0"/>
          <w:kern w:val="2"/>
          <w:sz w:val="32"/>
          <w:szCs w:val="32"/>
          <w:lang w:eastAsia="zh-CN"/>
        </w:rPr>
        <w:t>赛事</w:t>
      </w:r>
      <w:r>
        <w:rPr>
          <w:rFonts w:hint="eastAsia" w:ascii="仿宋" w:hAnsi="仿宋" w:eastAsia="仿宋" w:cs="仿宋"/>
          <w:b w:val="0"/>
          <w:bCs w:val="0"/>
          <w:kern w:val="2"/>
          <w:sz w:val="32"/>
          <w:szCs w:val="32"/>
        </w:rPr>
        <w:t>中</w:t>
      </w:r>
      <w:r>
        <w:rPr>
          <w:rFonts w:hint="eastAsia" w:ascii="仿宋" w:hAnsi="仿宋" w:eastAsia="仿宋" w:cs="仿宋"/>
          <w:b w:val="0"/>
          <w:bCs w:val="0"/>
          <w:kern w:val="2"/>
          <w:sz w:val="32"/>
          <w:szCs w:val="32"/>
          <w:lang w:eastAsia="zh-CN"/>
        </w:rPr>
        <w:t>，</w:t>
      </w:r>
      <w:r>
        <w:rPr>
          <w:rFonts w:hint="eastAsia" w:ascii="仿宋" w:hAnsi="仿宋" w:eastAsia="仿宋" w:cs="仿宋"/>
          <w:b w:val="0"/>
          <w:bCs w:val="0"/>
          <w:kern w:val="2"/>
          <w:sz w:val="32"/>
          <w:szCs w:val="32"/>
        </w:rPr>
        <w:t>共收获区级</w:t>
      </w:r>
      <w:r>
        <w:rPr>
          <w:rFonts w:hint="eastAsia" w:ascii="仿宋" w:hAnsi="仿宋" w:eastAsia="仿宋" w:cs="仿宋"/>
          <w:b w:val="0"/>
          <w:bCs w:val="0"/>
          <w:kern w:val="2"/>
          <w:sz w:val="32"/>
          <w:szCs w:val="32"/>
          <w:lang w:eastAsia="zh-CN"/>
        </w:rPr>
        <w:t>及</w:t>
      </w:r>
      <w:r>
        <w:rPr>
          <w:rFonts w:hint="eastAsia" w:ascii="仿宋" w:hAnsi="仿宋" w:eastAsia="仿宋" w:cs="仿宋"/>
          <w:b w:val="0"/>
          <w:bCs w:val="0"/>
          <w:kern w:val="2"/>
          <w:sz w:val="32"/>
          <w:szCs w:val="32"/>
        </w:rPr>
        <w:t>以上奖项4</w:t>
      </w:r>
      <w:r>
        <w:rPr>
          <w:rFonts w:hint="eastAsia" w:ascii="仿宋" w:hAnsi="仿宋" w:eastAsia="仿宋" w:cs="仿宋"/>
          <w:b w:val="0"/>
          <w:bCs w:val="0"/>
          <w:kern w:val="2"/>
          <w:sz w:val="32"/>
          <w:szCs w:val="32"/>
          <w:lang w:val="en-US" w:eastAsia="zh-CN"/>
        </w:rPr>
        <w:t>7</w:t>
      </w:r>
      <w:r>
        <w:rPr>
          <w:rFonts w:hint="eastAsia" w:ascii="仿宋" w:hAnsi="仿宋" w:eastAsia="仿宋" w:cs="仿宋"/>
          <w:b w:val="0"/>
          <w:bCs w:val="0"/>
          <w:kern w:val="2"/>
          <w:sz w:val="32"/>
          <w:szCs w:val="32"/>
        </w:rPr>
        <w:t>项，其中国家</w:t>
      </w:r>
      <w:r>
        <w:rPr>
          <w:rFonts w:hint="eastAsia" w:ascii="仿宋" w:hAnsi="仿宋" w:eastAsia="仿宋" w:cs="仿宋"/>
          <w:b w:val="0"/>
          <w:bCs w:val="0"/>
          <w:kern w:val="2"/>
          <w:sz w:val="32"/>
          <w:szCs w:val="32"/>
          <w:lang w:eastAsia="zh-CN"/>
        </w:rPr>
        <w:t>金奖</w:t>
      </w:r>
      <w:r>
        <w:rPr>
          <w:rFonts w:hint="eastAsia" w:ascii="仿宋" w:hAnsi="仿宋" w:eastAsia="仿宋" w:cs="仿宋"/>
          <w:b w:val="0"/>
          <w:bCs w:val="0"/>
          <w:kern w:val="2"/>
          <w:sz w:val="32"/>
          <w:szCs w:val="32"/>
        </w:rPr>
        <w:t>1项</w:t>
      </w:r>
      <w:r>
        <w:rPr>
          <w:rFonts w:hint="eastAsia" w:ascii="仿宋" w:hAnsi="仿宋" w:eastAsia="仿宋" w:cs="仿宋"/>
          <w:b w:val="0"/>
          <w:bCs w:val="0"/>
          <w:kern w:val="2"/>
          <w:sz w:val="32"/>
          <w:szCs w:val="32"/>
          <w:lang w:val="en-US" w:eastAsia="zh-CN"/>
        </w:rPr>
        <w:t>、</w:t>
      </w:r>
      <w:r>
        <w:rPr>
          <w:rFonts w:hint="eastAsia" w:ascii="仿宋" w:hAnsi="仿宋" w:eastAsia="仿宋" w:cs="仿宋"/>
          <w:b w:val="0"/>
          <w:bCs w:val="0"/>
          <w:kern w:val="2"/>
          <w:sz w:val="32"/>
          <w:szCs w:val="32"/>
        </w:rPr>
        <w:t>国家铜</w:t>
      </w:r>
      <w:r>
        <w:rPr>
          <w:rFonts w:hint="eastAsia" w:ascii="仿宋" w:hAnsi="仿宋" w:eastAsia="仿宋" w:cs="仿宋"/>
          <w:b w:val="0"/>
          <w:bCs w:val="0"/>
          <w:kern w:val="2"/>
          <w:sz w:val="32"/>
          <w:szCs w:val="32"/>
          <w:lang w:eastAsia="zh-CN"/>
        </w:rPr>
        <w:t>奖</w:t>
      </w:r>
      <w:r>
        <w:rPr>
          <w:rFonts w:hint="eastAsia" w:ascii="仿宋" w:hAnsi="仿宋" w:eastAsia="仿宋" w:cs="仿宋"/>
          <w:b w:val="0"/>
          <w:bCs w:val="0"/>
          <w:kern w:val="2"/>
          <w:sz w:val="32"/>
          <w:szCs w:val="32"/>
        </w:rPr>
        <w:t>1项</w:t>
      </w:r>
      <w:r>
        <w:rPr>
          <w:rFonts w:hint="eastAsia" w:ascii="仿宋" w:hAnsi="仿宋" w:eastAsia="仿宋" w:cs="仿宋"/>
          <w:b w:val="0"/>
          <w:bCs w:val="0"/>
          <w:kern w:val="2"/>
          <w:sz w:val="32"/>
          <w:szCs w:val="32"/>
          <w:lang w:val="en-US" w:eastAsia="zh-CN"/>
        </w:rPr>
        <w:t>、区级</w:t>
      </w:r>
      <w:r>
        <w:rPr>
          <w:rFonts w:hint="eastAsia" w:ascii="仿宋" w:hAnsi="仿宋" w:eastAsia="仿宋" w:cs="仿宋"/>
          <w:b w:val="0"/>
          <w:bCs w:val="0"/>
          <w:kern w:val="2"/>
          <w:sz w:val="32"/>
          <w:szCs w:val="32"/>
        </w:rPr>
        <w:t>金奖</w:t>
      </w:r>
      <w:r>
        <w:rPr>
          <w:rFonts w:hint="eastAsia" w:ascii="仿宋" w:hAnsi="仿宋" w:eastAsia="仿宋" w:cs="仿宋"/>
          <w:b w:val="0"/>
          <w:bCs w:val="0"/>
          <w:kern w:val="2"/>
          <w:sz w:val="32"/>
          <w:szCs w:val="32"/>
          <w:lang w:val="en-US" w:eastAsia="zh-CN"/>
        </w:rPr>
        <w:t>3项</w:t>
      </w:r>
      <w:r>
        <w:rPr>
          <w:rFonts w:hint="eastAsia" w:ascii="仿宋" w:hAnsi="仿宋" w:eastAsia="仿宋" w:cs="仿宋"/>
          <w:b w:val="0"/>
          <w:bCs w:val="0"/>
          <w:kern w:val="2"/>
          <w:sz w:val="32"/>
          <w:szCs w:val="32"/>
        </w:rPr>
        <w:t>、</w:t>
      </w:r>
      <w:r>
        <w:rPr>
          <w:rFonts w:hint="eastAsia" w:ascii="仿宋" w:hAnsi="仿宋" w:eastAsia="仿宋" w:cs="仿宋"/>
          <w:b w:val="0"/>
          <w:bCs w:val="0"/>
          <w:kern w:val="2"/>
          <w:sz w:val="32"/>
          <w:szCs w:val="32"/>
          <w:lang w:eastAsia="zh-CN"/>
        </w:rPr>
        <w:t>区级</w:t>
      </w:r>
      <w:r>
        <w:rPr>
          <w:rFonts w:hint="eastAsia" w:ascii="仿宋" w:hAnsi="仿宋" w:eastAsia="仿宋" w:cs="仿宋"/>
          <w:b w:val="0"/>
          <w:bCs w:val="0"/>
          <w:kern w:val="2"/>
          <w:sz w:val="32"/>
          <w:szCs w:val="32"/>
        </w:rPr>
        <w:t>银奖</w:t>
      </w:r>
      <w:r>
        <w:rPr>
          <w:rFonts w:hint="eastAsia" w:ascii="仿宋" w:hAnsi="仿宋" w:eastAsia="仿宋" w:cs="仿宋"/>
          <w:b w:val="0"/>
          <w:bCs w:val="0"/>
          <w:kern w:val="2"/>
          <w:sz w:val="32"/>
          <w:szCs w:val="32"/>
          <w:lang w:val="en-US" w:eastAsia="zh-CN"/>
        </w:rPr>
        <w:t>9项</w:t>
      </w:r>
      <w:r>
        <w:rPr>
          <w:rFonts w:hint="eastAsia" w:ascii="仿宋" w:hAnsi="仿宋" w:eastAsia="仿宋" w:cs="仿宋"/>
          <w:b w:val="0"/>
          <w:bCs w:val="0"/>
          <w:kern w:val="2"/>
          <w:sz w:val="32"/>
          <w:szCs w:val="32"/>
        </w:rPr>
        <w:t>、</w:t>
      </w:r>
      <w:r>
        <w:rPr>
          <w:rFonts w:hint="eastAsia" w:ascii="仿宋" w:hAnsi="仿宋" w:eastAsia="仿宋" w:cs="仿宋"/>
          <w:b w:val="0"/>
          <w:bCs w:val="0"/>
          <w:kern w:val="2"/>
          <w:sz w:val="32"/>
          <w:szCs w:val="32"/>
          <w:lang w:eastAsia="zh-CN"/>
        </w:rPr>
        <w:t>区级</w:t>
      </w:r>
      <w:r>
        <w:rPr>
          <w:rFonts w:hint="eastAsia" w:ascii="仿宋" w:hAnsi="仿宋" w:eastAsia="仿宋" w:cs="仿宋"/>
          <w:b w:val="0"/>
          <w:bCs w:val="0"/>
          <w:kern w:val="2"/>
          <w:sz w:val="32"/>
          <w:szCs w:val="32"/>
        </w:rPr>
        <w:t>铜奖</w:t>
      </w:r>
      <w:r>
        <w:rPr>
          <w:rFonts w:hint="eastAsia" w:ascii="仿宋" w:hAnsi="仿宋" w:eastAsia="仿宋" w:cs="仿宋"/>
          <w:b w:val="0"/>
          <w:bCs w:val="0"/>
          <w:kern w:val="2"/>
          <w:sz w:val="32"/>
          <w:szCs w:val="32"/>
          <w:lang w:val="en-US" w:eastAsia="zh-CN"/>
        </w:rPr>
        <w:t>32项、</w:t>
      </w:r>
      <w:r>
        <w:rPr>
          <w:rFonts w:hint="eastAsia" w:ascii="仿宋" w:hAnsi="仿宋" w:eastAsia="仿宋" w:cs="仿宋"/>
          <w:b w:val="0"/>
          <w:bCs w:val="0"/>
          <w:kern w:val="2"/>
          <w:sz w:val="32"/>
          <w:szCs w:val="32"/>
        </w:rPr>
        <w:t>区级优秀组织奖</w:t>
      </w:r>
      <w:r>
        <w:rPr>
          <w:rFonts w:hint="eastAsia" w:ascii="仿宋" w:hAnsi="仿宋" w:eastAsia="仿宋" w:cs="仿宋"/>
          <w:b w:val="0"/>
          <w:bCs w:val="0"/>
          <w:kern w:val="2"/>
          <w:sz w:val="32"/>
          <w:szCs w:val="32"/>
          <w:lang w:val="en-US" w:eastAsia="zh-CN"/>
        </w:rPr>
        <w:t>1项，</w:t>
      </w:r>
      <w:r>
        <w:rPr>
          <w:rFonts w:hint="eastAsia" w:ascii="仿宋" w:hAnsi="仿宋" w:eastAsia="仿宋" w:cs="仿宋"/>
          <w:b w:val="0"/>
          <w:bCs w:val="0"/>
          <w:kern w:val="2"/>
          <w:sz w:val="32"/>
          <w:szCs w:val="32"/>
        </w:rPr>
        <w:t>创新创业</w:t>
      </w:r>
      <w:r>
        <w:rPr>
          <w:rFonts w:hint="eastAsia" w:ascii="仿宋" w:hAnsi="仿宋" w:eastAsia="仿宋" w:cs="仿宋"/>
          <w:b w:val="0"/>
          <w:bCs w:val="0"/>
          <w:kern w:val="2"/>
          <w:sz w:val="32"/>
          <w:szCs w:val="32"/>
          <w:lang w:val="en-US" w:eastAsia="zh-CN"/>
        </w:rPr>
        <w:t>赛事成果创历史新高。其中，“白色森林儿童美术项目”荣获第七届中国国际“互联网+”大学生创新创业大赛国赛金奖，实现了我校在该赛事中全国金奖零的突破，也是广西高职院校在此项大赛中获得的第一枚全国金奖。二是创新创业涌现典型人物。</w:t>
      </w:r>
      <w:r>
        <w:rPr>
          <w:rFonts w:hint="eastAsia" w:ascii="仿宋" w:hAnsi="仿宋" w:eastAsia="仿宋" w:cs="仿宋"/>
          <w:b w:val="0"/>
          <w:bCs w:val="0"/>
          <w:kern w:val="2"/>
          <w:sz w:val="32"/>
          <w:szCs w:val="32"/>
          <w:lang w:val="en-US" w:eastAsia="zh-CN" w:bidi="ar-SA"/>
        </w:rPr>
        <w:t>我校推荐的刘秀成同学获评全国第四届“闪亮的日子——青春该有的模样”大学生就业创业人物（大学生创业人物），系我校首次获得该荣誉的学生。</w:t>
      </w:r>
      <w:bookmarkStart w:id="28" w:name="_Toc28580_WPSOffice_Level3"/>
      <w:r>
        <w:rPr>
          <w:rFonts w:hint="eastAsia" w:ascii="仿宋" w:hAnsi="仿宋" w:eastAsia="仿宋" w:cs="仿宋"/>
          <w:kern w:val="2"/>
          <w:sz w:val="32"/>
          <w:szCs w:val="32"/>
          <w:shd w:val="clear"/>
        </w:rPr>
        <w:t>一年来，我校积极组织学生参与和承办各级各类比赛，取得了丰硕成果。</w:t>
      </w:r>
    </w:p>
    <w:bookmarkEnd w:id="28"/>
    <w:p>
      <w:pPr>
        <w:pageBreakBefore w:val="0"/>
        <w:kinsoku/>
        <w:wordWrap/>
        <w:overflowPunct/>
        <w:topLinePunct w:val="0"/>
        <w:bidi w:val="0"/>
        <w:spacing w:line="560" w:lineRule="exact"/>
        <w:ind w:left="0" w:leftChars="0" w:right="0" w:rightChars="0" w:firstLine="640" w:firstLineChars="200"/>
        <w:textAlignment w:val="auto"/>
        <w:rPr>
          <w:rFonts w:hint="eastAsia" w:ascii="仿宋" w:hAnsi="仿宋" w:eastAsia="仿宋" w:cs="仿宋"/>
          <w:sz w:val="32"/>
          <w:szCs w:val="32"/>
          <w:lang w:val="en-US" w:eastAsia="zh-CN"/>
        </w:rPr>
      </w:pPr>
      <w:bookmarkStart w:id="29" w:name="_Toc3312_WPSOffice_Level3"/>
      <w:r>
        <w:rPr>
          <w:rFonts w:hint="eastAsia" w:ascii="仿宋" w:hAnsi="仿宋" w:eastAsia="仿宋" w:cs="仿宋"/>
          <w:b w:val="0"/>
          <w:bCs w:val="0"/>
          <w:sz w:val="32"/>
          <w:szCs w:val="32"/>
          <w:shd w:val="clear"/>
          <w:lang w:val="en-US" w:eastAsia="zh-CN"/>
        </w:rPr>
        <w:t>三是职业技能大赛成绩显著提升。</w:t>
      </w:r>
      <w:r>
        <w:rPr>
          <w:rFonts w:hint="eastAsia" w:ascii="仿宋" w:hAnsi="仿宋" w:eastAsia="仿宋" w:cs="仿宋"/>
          <w:sz w:val="32"/>
          <w:szCs w:val="32"/>
          <w:shd w:val="clear"/>
        </w:rPr>
        <w:t>2021年，我校积极组织学生参加广西职业院校技能大赛及全国职业院校技能大赛，获</w:t>
      </w:r>
      <w:r>
        <w:rPr>
          <w:rFonts w:hint="eastAsia" w:ascii="仿宋" w:hAnsi="仿宋" w:eastAsia="仿宋" w:cs="仿宋"/>
          <w:kern w:val="2"/>
          <w:sz w:val="32"/>
          <w:szCs w:val="32"/>
        </w:rPr>
        <w:t>国赛二等奖1项，三等奖2项，区赛一等奖4项，二等</w:t>
      </w:r>
      <w:r>
        <w:rPr>
          <w:rFonts w:hint="eastAsia" w:ascii="仿宋" w:hAnsi="仿宋" w:eastAsia="仿宋" w:cs="仿宋"/>
          <w:sz w:val="32"/>
          <w:szCs w:val="32"/>
          <w:lang w:val="en-US" w:eastAsia="zh-CN"/>
        </w:rPr>
        <w:t>奖4项，三等奖7项。</w:t>
      </w:r>
      <w:bookmarkEnd w:id="29"/>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黑体" w:cs="Times New Roman"/>
          <w:b/>
          <w:bCs/>
          <w:color w:val="auto"/>
          <w:sz w:val="32"/>
          <w:szCs w:val="32"/>
          <w:highlight w:val="none"/>
          <w:lang w:val="en-US" w:eastAsia="zh-CN"/>
        </w:rPr>
      </w:pPr>
      <w:bookmarkStart w:id="30" w:name="_Toc1005"/>
      <w:r>
        <w:rPr>
          <w:rFonts w:hint="default" w:ascii="Times New Roman" w:hAnsi="Times New Roman" w:eastAsia="黑体" w:cs="Times New Roman"/>
          <w:b/>
          <w:bCs/>
          <w:color w:val="auto"/>
          <w:sz w:val="32"/>
          <w:szCs w:val="32"/>
          <w:highlight w:val="none"/>
          <w:lang w:val="en-US" w:eastAsia="zh-CN"/>
        </w:rPr>
        <w:t>二、学生发展</w:t>
      </w:r>
      <w:bookmarkEnd w:id="17"/>
      <w:bookmarkEnd w:id="18"/>
      <w:bookmarkEnd w:id="30"/>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31" w:name="_Toc10156"/>
      <w:r>
        <w:rPr>
          <w:rFonts w:hint="default" w:ascii="Times New Roman" w:hAnsi="Times New Roman" w:eastAsia="楷体" w:cs="Times New Roman"/>
          <w:b/>
          <w:bCs/>
          <w:color w:val="auto"/>
          <w:sz w:val="32"/>
          <w:szCs w:val="32"/>
          <w:highlight w:val="none"/>
          <w:lang w:val="en-US" w:eastAsia="zh-CN"/>
        </w:rPr>
        <w:t>（一）立德树人</w:t>
      </w:r>
      <w:bookmarkEnd w:id="31"/>
    </w:p>
    <w:p>
      <w:pPr>
        <w:pageBreakBefore w:val="0"/>
        <w:tabs>
          <w:tab w:val="left" w:pos="634"/>
        </w:tabs>
        <w:kinsoku/>
        <w:wordWrap/>
        <w:overflowPunct/>
        <w:topLinePunct w:val="0"/>
        <w:bidi w:val="0"/>
        <w:spacing w:line="560" w:lineRule="exact"/>
        <w:ind w:left="0" w:leftChars="0" w:right="0" w:rightChars="0" w:firstLine="640"/>
        <w:textAlignment w:val="auto"/>
        <w:rPr>
          <w:rFonts w:hint="eastAsia" w:ascii="仿宋" w:hAnsi="仿宋" w:eastAsia="仿宋" w:cs="仿宋"/>
          <w:b/>
          <w:bCs/>
          <w:sz w:val="32"/>
          <w:szCs w:val="32"/>
          <w:lang w:val="en-US" w:eastAsia="zh-CN"/>
        </w:rPr>
      </w:pPr>
      <w:bookmarkStart w:id="32" w:name="_Toc20508"/>
      <w:r>
        <w:rPr>
          <w:rFonts w:hint="eastAsia" w:ascii="仿宋" w:hAnsi="仿宋" w:eastAsia="仿宋" w:cs="仿宋"/>
          <w:b/>
          <w:bCs/>
          <w:sz w:val="32"/>
          <w:szCs w:val="32"/>
          <w:lang w:val="en-US" w:eastAsia="zh-CN"/>
        </w:rPr>
        <w:t>1.学生思想政治教育</w:t>
      </w:r>
      <w:bookmarkEnd w:id="32"/>
    </w:p>
    <w:p>
      <w:pPr>
        <w:spacing w:line="560" w:lineRule="exact"/>
        <w:ind w:firstLine="643" w:firstLineChars="200"/>
        <w:jc w:val="left"/>
        <w:rPr>
          <w:rFonts w:hint="eastAsia" w:ascii="仿宋" w:hAnsi="仿宋" w:eastAsia="仿宋" w:cs="仿宋"/>
          <w:bCs w:val="0"/>
          <w:sz w:val="32"/>
          <w:szCs w:val="32"/>
          <w:lang w:val="en-US" w:eastAsia="zh-CN"/>
        </w:rPr>
      </w:pPr>
      <w:bookmarkStart w:id="33" w:name="_Toc23533"/>
      <w:bookmarkStart w:id="34" w:name="_Toc437380306"/>
      <w:r>
        <w:rPr>
          <w:rFonts w:hint="eastAsia" w:ascii="仿宋" w:hAnsi="仿宋" w:eastAsia="仿宋" w:cs="仿宋"/>
          <w:b/>
          <w:bCs/>
          <w:sz w:val="32"/>
          <w:szCs w:val="32"/>
          <w:lang w:val="en-US" w:eastAsia="zh-CN"/>
        </w:rPr>
        <w:t>(1）落实课程学分及</w:t>
      </w:r>
      <w:r>
        <w:rPr>
          <w:rFonts w:hint="eastAsia" w:ascii="仿宋" w:hAnsi="仿宋" w:eastAsia="仿宋" w:cs="仿宋"/>
          <w:b/>
          <w:bCs/>
          <w:sz w:val="32"/>
          <w:szCs w:val="32"/>
        </w:rPr>
        <w:t>对应学时，开设5门思政选修课</w:t>
      </w:r>
      <w:r>
        <w:rPr>
          <w:rFonts w:hint="eastAsia" w:ascii="仿宋" w:hAnsi="仿宋" w:eastAsia="仿宋" w:cs="仿宋"/>
          <w:b/>
          <w:bCs/>
          <w:sz w:val="32"/>
          <w:szCs w:val="32"/>
          <w:lang w:eastAsia="zh-CN"/>
        </w:rPr>
        <w:t>。</w:t>
      </w:r>
    </w:p>
    <w:p>
      <w:pPr>
        <w:spacing w:line="560" w:lineRule="exact"/>
        <w:ind w:firstLine="0" w:firstLineChars="0"/>
        <w:jc w:val="left"/>
        <w:rPr>
          <w:rFonts w:hint="eastAsia" w:ascii="仿宋" w:hAnsi="仿宋" w:eastAsia="仿宋" w:cs="仿宋"/>
          <w:bCs w:val="0"/>
          <w:sz w:val="32"/>
          <w:szCs w:val="32"/>
        </w:rPr>
      </w:pPr>
      <w:r>
        <w:rPr>
          <w:rFonts w:hint="eastAsia" w:ascii="仿宋" w:hAnsi="仿宋" w:eastAsia="仿宋" w:cs="仿宋"/>
          <w:bCs w:val="0"/>
          <w:sz w:val="32"/>
          <w:szCs w:val="32"/>
          <w:lang w:val="en-US" w:eastAsia="zh-CN"/>
        </w:rPr>
        <w:t>马克思主义学</w:t>
      </w:r>
      <w:r>
        <w:rPr>
          <w:rFonts w:hint="eastAsia" w:ascii="仿宋" w:hAnsi="仿宋" w:eastAsia="仿宋" w:cs="仿宋"/>
          <w:bCs w:val="0"/>
          <w:sz w:val="32"/>
          <w:szCs w:val="32"/>
        </w:rPr>
        <w:t>院按照</w:t>
      </w:r>
      <w:r>
        <w:rPr>
          <w:rFonts w:hint="eastAsia" w:ascii="仿宋" w:hAnsi="仿宋" w:eastAsia="仿宋" w:cs="仿宋"/>
          <w:bCs w:val="0"/>
          <w:sz w:val="32"/>
          <w:szCs w:val="32"/>
          <w:lang w:val="en-US" w:eastAsia="zh-CN"/>
        </w:rPr>
        <w:t>毛泽东思想和中国特色社会主义理论体系概论</w:t>
      </w:r>
      <w:r>
        <w:rPr>
          <w:rFonts w:hint="eastAsia" w:ascii="仿宋" w:hAnsi="仿宋" w:eastAsia="仿宋" w:cs="仿宋"/>
          <w:bCs w:val="0"/>
          <w:sz w:val="32"/>
          <w:szCs w:val="32"/>
        </w:rPr>
        <w:t>课4学分（64课时）、</w:t>
      </w:r>
      <w:r>
        <w:rPr>
          <w:rFonts w:hint="eastAsia" w:ascii="仿宋" w:hAnsi="仿宋" w:eastAsia="仿宋" w:cs="仿宋"/>
          <w:bCs w:val="0"/>
          <w:sz w:val="32"/>
          <w:szCs w:val="32"/>
          <w:lang w:val="en-US" w:eastAsia="zh-CN"/>
        </w:rPr>
        <w:t>思想道德修养与法律基础</w:t>
      </w:r>
      <w:r>
        <w:rPr>
          <w:rFonts w:hint="eastAsia" w:ascii="仿宋" w:hAnsi="仿宋" w:eastAsia="仿宋" w:cs="仿宋"/>
          <w:bCs w:val="0"/>
          <w:sz w:val="32"/>
          <w:szCs w:val="32"/>
        </w:rPr>
        <w:t>课3学分（48课时）、</w:t>
      </w:r>
      <w:r>
        <w:rPr>
          <w:rFonts w:hint="eastAsia" w:ascii="仿宋" w:hAnsi="仿宋" w:eastAsia="仿宋" w:cs="仿宋"/>
          <w:bCs w:val="0"/>
          <w:sz w:val="32"/>
          <w:szCs w:val="32"/>
          <w:lang w:val="en-US" w:eastAsia="zh-CN"/>
        </w:rPr>
        <w:t>形势与政策</w:t>
      </w:r>
      <w:r>
        <w:rPr>
          <w:rFonts w:hint="eastAsia" w:ascii="仿宋" w:hAnsi="仿宋" w:eastAsia="仿宋" w:cs="仿宋"/>
          <w:bCs w:val="0"/>
          <w:sz w:val="32"/>
          <w:szCs w:val="32"/>
        </w:rPr>
        <w:t>课1学分（18课时）的标准落实了学分和学时，</w:t>
      </w:r>
      <w:r>
        <w:rPr>
          <w:rFonts w:hint="eastAsia" w:ascii="仿宋" w:hAnsi="仿宋" w:eastAsia="仿宋" w:cs="仿宋"/>
          <w:bCs w:val="0"/>
          <w:sz w:val="32"/>
          <w:szCs w:val="32"/>
          <w:lang w:val="en-US" w:eastAsia="zh-CN"/>
        </w:rPr>
        <w:t>同时</w:t>
      </w:r>
      <w:r>
        <w:rPr>
          <w:rFonts w:hint="eastAsia" w:ascii="仿宋" w:hAnsi="仿宋" w:eastAsia="仿宋" w:cs="仿宋"/>
          <w:bCs w:val="0"/>
          <w:sz w:val="32"/>
          <w:szCs w:val="32"/>
        </w:rPr>
        <w:t>开设了广西高校思政改革创新示范课程《习近平新时代中国特色主义思想概论》公共选修课和党史、新中国史、社会主义发展史、改革开放史等“四史”选修课，并培育、开设了一门“鲁班精神”课程，极大丰富了思政课程体系。</w:t>
      </w:r>
    </w:p>
    <w:p>
      <w:pPr>
        <w:numPr>
          <w:ilvl w:val="-1"/>
          <w:numId w:val="0"/>
        </w:numPr>
        <w:spacing w:line="560" w:lineRule="exact"/>
        <w:ind w:firstLine="321" w:firstLineChars="100"/>
        <w:rPr>
          <w:rFonts w:hint="eastAsia" w:ascii="仿宋" w:hAnsi="仿宋" w:eastAsia="仿宋" w:cs="仿宋"/>
          <w:sz w:val="32"/>
          <w:szCs w:val="32"/>
        </w:rPr>
      </w:pPr>
      <w:r>
        <w:rPr>
          <w:rFonts w:hint="eastAsia" w:ascii="仿宋" w:hAnsi="仿宋" w:eastAsia="仿宋" w:cs="仿宋"/>
          <w:b/>
          <w:bCs/>
          <w:sz w:val="32"/>
          <w:szCs w:val="32"/>
        </w:rPr>
        <w:t>（2）集体备课，精准挖掘，筑牢思政课程育人“云高地”</w:t>
      </w:r>
      <w:r>
        <w:rPr>
          <w:rFonts w:hint="eastAsia" w:ascii="仿宋" w:hAnsi="仿宋" w:eastAsia="仿宋" w:cs="仿宋"/>
          <w:b/>
          <w:bCs/>
          <w:sz w:val="32"/>
          <w:szCs w:val="32"/>
          <w:lang w:eastAsia="zh-CN"/>
        </w:rPr>
        <w:t>。</w:t>
      </w:r>
    </w:p>
    <w:p>
      <w:pPr>
        <w:numPr>
          <w:ilvl w:val="-1"/>
          <w:numId w:val="0"/>
        </w:numPr>
        <w:spacing w:line="560" w:lineRule="exact"/>
        <w:ind w:firstLine="0" w:firstLineChars="0"/>
        <w:rPr>
          <w:rFonts w:hint="eastAsia" w:ascii="仿宋" w:hAnsi="仿宋" w:eastAsia="仿宋" w:cs="仿宋"/>
          <w:sz w:val="32"/>
          <w:szCs w:val="32"/>
        </w:rPr>
      </w:pPr>
      <w:r>
        <w:rPr>
          <w:rFonts w:hint="eastAsia" w:ascii="仿宋" w:hAnsi="仿宋" w:eastAsia="仿宋" w:cs="仿宋"/>
          <w:sz w:val="32"/>
          <w:szCs w:val="32"/>
        </w:rPr>
        <w:t>马克思主义学院完善了以教研室为单位开展的群策群力、集思广益、课件共建、智慧共享的集体备课制度，及时总结归纳了教学重难点、及时更新了教学课件与教案，有效促进了我院思政课程的建设质量。在线上教学期间，结合疫情防控战，打造思政大课堂，夯实思想政治理论课主阵地、主渠道，为我校一万余名青年学子上好有滋有味的线上思政课做了充足的准备。思政课教师细化任务，多次线上集体备课，精心录制微课教学视频，收集运用抗击疫情的鲜活事例作为教学案例，充分挖掘疫情防控过程中育人元素，转化为思政课的教学素材和教学课件，完善教学测试题库，不断丰富和完善“学习通”平台思想政治理论课教学资源，实现师生“小课堂”和社会“大课堂”同频共振。另外，学生进行线上学习，教师紧扣教材内容有针对性的指导学生开展实践作业，如，春耕感悟劳动教育、防疫中的村民行动、农村乡野调查、感悟大自然等各种实践活动主题，学生收获满满。</w:t>
      </w:r>
    </w:p>
    <w:p>
      <w:pPr>
        <w:numPr>
          <w:ilvl w:val="0"/>
          <w:numId w:val="0"/>
        </w:numPr>
        <w:spacing w:line="560" w:lineRule="exact"/>
        <w:ind w:firstLine="321" w:firstLineChars="100"/>
        <w:rPr>
          <w:rFonts w:hint="eastAsia" w:ascii="仿宋" w:hAnsi="仿宋" w:eastAsia="仿宋" w:cs="仿宋"/>
          <w:bCs w:val="0"/>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w:t>
      </w:r>
      <w:r>
        <w:rPr>
          <w:rFonts w:hint="eastAsia" w:ascii="仿宋" w:hAnsi="仿宋" w:eastAsia="仿宋" w:cs="仿宋"/>
          <w:b/>
          <w:bCs/>
          <w:sz w:val="32"/>
          <w:szCs w:val="32"/>
        </w:rPr>
        <w:t>创新思政课实践教学新模式</w:t>
      </w:r>
      <w:r>
        <w:rPr>
          <w:rFonts w:hint="eastAsia" w:ascii="仿宋" w:hAnsi="仿宋" w:eastAsia="仿宋" w:cs="仿宋"/>
          <w:b/>
          <w:bCs/>
          <w:sz w:val="32"/>
          <w:szCs w:val="32"/>
          <w:lang w:eastAsia="zh-CN"/>
        </w:rPr>
        <w:t>。</w:t>
      </w:r>
      <w:r>
        <w:rPr>
          <w:rFonts w:hint="eastAsia" w:ascii="仿宋" w:hAnsi="仿宋" w:eastAsia="仿宋" w:cs="仿宋"/>
          <w:bCs w:val="0"/>
          <w:sz w:val="32"/>
          <w:szCs w:val="32"/>
        </w:rPr>
        <w:t>一年来，马克思主义学院扎实推进立德树人的根本任务，丰富思政课实践教学模式，让思政课“活起来”，如带领学生参加大学生暑期“三下乡”活动，培养学生的社会责任感；组织学生赴桂林湘江战役纪念馆、邓颖超纪念馆、李明瑞韦拔群烈士纪念碑、新会书院等地方开展实践主题教育活动，充分利用广西丰富的红色文化资源，深入挖掘其蕴含的教育价值；特色开设2期“青马学堂”；与管理工程系联合开展“校外思政课”协同育人实践活动；举办三个层次（学校、广西思政课结对共建五校）大学生讲思政课比赛、大学生微电影展示等活动，引领青年学生进一步坚定跟党走中国特色社会主义道路的信念，培养合格的社会主义建设者和接班人。</w:t>
      </w:r>
    </w:p>
    <w:p>
      <w:pPr>
        <w:snapToGrid/>
        <w:spacing w:line="560" w:lineRule="exact"/>
        <w:ind w:firstLine="321" w:firstLineChars="100"/>
        <w:rPr>
          <w:rFonts w:hint="eastAsia" w:ascii="仿宋" w:hAnsi="仿宋" w:eastAsia="仿宋" w:cs="仿宋"/>
          <w:sz w:val="32"/>
          <w:szCs w:val="32"/>
          <w:lang w:val="en-US" w:eastAsia="zh-CN"/>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）推动思政教育与专业教学“相向同行”</w:t>
      </w:r>
      <w:r>
        <w:rPr>
          <w:rFonts w:hint="eastAsia" w:ascii="仿宋" w:hAnsi="仿宋" w:eastAsia="仿宋" w:cs="仿宋"/>
          <w:b/>
          <w:bCs/>
          <w:sz w:val="32"/>
          <w:szCs w:val="32"/>
          <w:lang w:eastAsia="zh-CN"/>
        </w:rPr>
        <w:t>。</w:t>
      </w:r>
      <w:r>
        <w:rPr>
          <w:rFonts w:hint="eastAsia" w:ascii="仿宋" w:hAnsi="仿宋" w:eastAsia="仿宋" w:cs="仿宋"/>
          <w:sz w:val="32"/>
          <w:szCs w:val="32"/>
        </w:rPr>
        <w:t>在推进学校课程思政工作中，思政课教师积极配合专业课教师，结合专业课程和专业特点，对学生进行积极正确的思想价值引领。努力实现思政课教师主讲的“思政课程”与专业课教师主导的“课程思政”二者导向有机结合、效用相互配合，形成思政课程与“课程思政”同向同行、共同发力、形成合力的大思政格局。</w:t>
      </w:r>
    </w:p>
    <w:p>
      <w:pPr>
        <w:pageBreakBefore w:val="0"/>
        <w:kinsoku/>
        <w:wordWrap/>
        <w:overflowPunct/>
        <w:topLinePunct w:val="0"/>
        <w:bidi w:val="0"/>
        <w:spacing w:line="560" w:lineRule="exact"/>
        <w:ind w:left="0" w:leftChars="0" w:right="0" w:rightChars="0" w:firstLine="321" w:firstLineChars="1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）强化爱国主义硬核力量，激发爱国情和报国志，营造勤奋向上的学习氛围</w:t>
      </w:r>
      <w:r>
        <w:rPr>
          <w:rFonts w:hint="eastAsia" w:ascii="仿宋" w:hAnsi="仿宋" w:eastAsia="仿宋" w:cs="仿宋"/>
          <w:b/>
          <w:bCs/>
          <w:sz w:val="32"/>
          <w:szCs w:val="32"/>
          <w:lang w:eastAsia="zh-CN"/>
        </w:rPr>
        <w:t>。</w:t>
      </w:r>
      <w:r>
        <w:rPr>
          <w:rFonts w:hint="eastAsia" w:ascii="仿宋" w:hAnsi="仿宋" w:eastAsia="仿宋" w:cs="仿宋"/>
          <w:sz w:val="32"/>
          <w:szCs w:val="32"/>
        </w:rPr>
        <w:t>将全国战“疫”一盘棋精神等融入日常学生思政教育工作，唱响爱国主旋律；邀请学院领导作专题讲座，组织开展党史知识竞赛、新生入党启蒙教育、爱国红船主题教育等系列活动，让爱国爱党成为每个学生的坚定信念；加强大学生征兵宣传教育，超额完成自治区年度征兵任务；充分发挥班会课作为思想教育的主阵地作用，及时掌握学生的思想和学习动态，引导学生端正学习态度，明确学习目的，全面提高学生学习主动性和积极性，打造具有我校鲜明特色的学风</w:t>
      </w:r>
      <w:r>
        <w:rPr>
          <w:rFonts w:hint="eastAsia" w:ascii="仿宋" w:hAnsi="仿宋" w:eastAsia="仿宋" w:cs="仿宋"/>
          <w:sz w:val="32"/>
          <w:szCs w:val="32"/>
          <w:lang w:val="en-US" w:eastAsia="zh-CN"/>
        </w:rPr>
        <w:t>氛围。</w:t>
      </w:r>
    </w:p>
    <w:p>
      <w:pPr>
        <w:pageBreakBefore w:val="0"/>
        <w:kinsoku/>
        <w:wordWrap/>
        <w:overflowPunct/>
        <w:topLinePunct w:val="0"/>
        <w:bidi w:val="0"/>
        <w:spacing w:line="560" w:lineRule="exact"/>
        <w:ind w:left="0" w:leftChars="0" w:right="0" w:rightChars="0" w:firstLine="640"/>
        <w:textAlignment w:val="auto"/>
        <w:rPr>
          <w:rFonts w:hint="eastAsia" w:ascii="仿宋" w:hAnsi="仿宋" w:eastAsia="仿宋" w:cs="仿宋"/>
          <w:b w:val="0"/>
          <w:bCs w:val="0"/>
          <w:sz w:val="32"/>
          <w:szCs w:val="32"/>
          <w:lang w:val="en-US" w:eastAsia="zh-CN"/>
        </w:rPr>
      </w:pPr>
      <w:bookmarkStart w:id="35" w:name="_Toc15411"/>
      <w:r>
        <w:rPr>
          <w:rFonts w:hint="eastAsia" w:ascii="仿宋" w:hAnsi="仿宋" w:eastAsia="仿宋" w:cs="仿宋"/>
          <w:b w:val="0"/>
          <w:bCs w:val="0"/>
          <w:sz w:val="32"/>
          <w:szCs w:val="32"/>
          <w:lang w:val="en-US" w:eastAsia="zh-CN"/>
        </w:rPr>
        <w:t>2.学生综合素质教育</w:t>
      </w:r>
      <w:bookmarkEnd w:id="35"/>
    </w:p>
    <w:p>
      <w:pPr>
        <w:pageBreakBefore w:val="0"/>
        <w:shd w:val="clear" w:color="auto" w:fill="FFFFFF"/>
        <w:kinsoku/>
        <w:wordWrap/>
        <w:overflowPunct/>
        <w:topLinePunct w:val="0"/>
        <w:bidi w:val="0"/>
        <w:spacing w:before="0" w:beforeAutospacing="0" w:after="0" w:afterAutospacing="0" w:line="560" w:lineRule="exact"/>
        <w:ind w:right="0" w:rightChars="0" w:firstLine="321" w:firstLineChars="100"/>
        <w:textAlignment w:val="auto"/>
        <w:rPr>
          <w:rFonts w:hint="eastAsia" w:ascii="仿宋" w:hAnsi="仿宋" w:eastAsia="仿宋" w:cs="仿宋"/>
          <w:sz w:val="32"/>
          <w:szCs w:val="32"/>
          <w:lang w:val="en-US" w:eastAsia="zh-CN"/>
        </w:rPr>
      </w:pPr>
      <w:bookmarkStart w:id="36" w:name="_Toc24767"/>
      <w:bookmarkStart w:id="37" w:name="_Toc9832"/>
      <w:bookmarkStart w:id="38" w:name="_Toc30723"/>
      <w:bookmarkStart w:id="39" w:name="_Toc25073"/>
      <w:bookmarkStart w:id="40" w:name="_Toc9548"/>
      <w:r>
        <w:rPr>
          <w:rFonts w:hint="eastAsia" w:ascii="仿宋" w:hAnsi="仿宋" w:eastAsia="仿宋" w:cs="仿宋"/>
          <w:b/>
          <w:bCs/>
          <w:sz w:val="32"/>
          <w:szCs w:val="32"/>
          <w:lang w:val="en-US" w:eastAsia="zh-CN"/>
        </w:rPr>
        <w:t>（1）构建“弘扬传统文化，厚植家国情怀”多类型的通识课程框架，培育学生</w:t>
      </w:r>
      <w:r>
        <w:rPr>
          <w:rFonts w:hint="eastAsia" w:ascii="仿宋" w:hAnsi="仿宋" w:eastAsia="仿宋" w:cs="仿宋"/>
          <w:b/>
          <w:bCs/>
          <w:kern w:val="2"/>
          <w:sz w:val="32"/>
          <w:szCs w:val="32"/>
        </w:rPr>
        <w:t>核心素养</w:t>
      </w:r>
      <w:bookmarkEnd w:id="36"/>
      <w:bookmarkEnd w:id="37"/>
      <w:bookmarkEnd w:id="38"/>
      <w:bookmarkEnd w:id="39"/>
      <w:bookmarkEnd w:id="40"/>
      <w:r>
        <w:rPr>
          <w:rFonts w:hint="eastAsia" w:ascii="仿宋" w:hAnsi="仿宋" w:eastAsia="仿宋" w:cs="仿宋"/>
          <w:b/>
          <w:bCs/>
          <w:kern w:val="2"/>
          <w:sz w:val="32"/>
          <w:szCs w:val="32"/>
          <w:lang w:eastAsia="zh-CN"/>
        </w:rPr>
        <w:t>。</w:t>
      </w:r>
      <w:r>
        <w:rPr>
          <w:rFonts w:hint="eastAsia" w:ascii="仿宋" w:hAnsi="仿宋" w:eastAsia="仿宋" w:cs="仿宋"/>
          <w:kern w:val="2"/>
          <w:sz w:val="32"/>
          <w:szCs w:val="32"/>
          <w:lang w:val="en-US" w:eastAsia="zh-CN"/>
        </w:rPr>
        <w:t>一是</w:t>
      </w:r>
      <w:r>
        <w:rPr>
          <w:rFonts w:hint="eastAsia" w:ascii="仿宋" w:hAnsi="仿宋" w:eastAsia="仿宋" w:cs="仿宋"/>
          <w:kern w:val="2"/>
          <w:sz w:val="32"/>
          <w:szCs w:val="32"/>
        </w:rPr>
        <w:t>普及关爱生命、健康安全知识。组织全校学生学习《新冠肺炎公益课》《毒品与艾滋病预防》，普及新冠肺炎、毒品、艾滋病的知识，提高学生防控防范意识。</w:t>
      </w:r>
      <w:r>
        <w:rPr>
          <w:rFonts w:hint="eastAsia" w:ascii="仿宋" w:hAnsi="仿宋" w:eastAsia="仿宋" w:cs="仿宋"/>
          <w:sz w:val="32"/>
          <w:szCs w:val="32"/>
          <w:lang w:val="en-US" w:eastAsia="zh-CN"/>
        </w:rPr>
        <w:t>二是</w:t>
      </w:r>
      <w:r>
        <w:rPr>
          <w:rFonts w:hint="eastAsia" w:ascii="仿宋" w:hAnsi="仿宋" w:eastAsia="仿宋" w:cs="仿宋"/>
          <w:sz w:val="32"/>
          <w:szCs w:val="32"/>
        </w:rPr>
        <w:t>结合新时代教育发展需求，新增《习近平新时代中国特色社会主义思想概论》《改革开放史》《党史国史专题》等“四史”专题教育课程和传统文化系列课程，建成弘扬传统文化、涵养家国情怀、塑造社会适应综合素质、培养学生兴趣爱好等多模块组合的选修课程体系，共开设超过200门选修课程，扩大课程涉及知识面，满足学生的选课多元化需求，有效发挥课程育人功能。</w:t>
      </w:r>
      <w:r>
        <w:rPr>
          <w:rFonts w:hint="eastAsia" w:ascii="仿宋" w:hAnsi="仿宋" w:eastAsia="仿宋" w:cs="仿宋"/>
          <w:kern w:val="2"/>
          <w:sz w:val="32"/>
          <w:szCs w:val="32"/>
          <w:lang w:val="en-US" w:eastAsia="zh-CN"/>
        </w:rPr>
        <w:t>三是</w:t>
      </w:r>
      <w:r>
        <w:rPr>
          <w:rFonts w:hint="eastAsia" w:ascii="仿宋" w:hAnsi="仿宋" w:eastAsia="仿宋" w:cs="仿宋"/>
          <w:kern w:val="2"/>
          <w:sz w:val="32"/>
          <w:szCs w:val="32"/>
        </w:rPr>
        <w:t>组织研发校本课程，重点打造以学生的需求、兴趣为出发点、以满足学生发展需求为目标的校本课程体系，如《民族工艺品创新设计》《中国文化系列课程》《数学实验》《数学模型》《书法鉴赏》《大学生实用法律》《朋辈心理健康》等课程，促进学生实践创新能力形成。</w:t>
      </w:r>
      <w:r>
        <w:rPr>
          <w:rFonts w:hint="eastAsia" w:ascii="仿宋" w:hAnsi="仿宋" w:eastAsia="仿宋" w:cs="仿宋"/>
          <w:kern w:val="2"/>
          <w:sz w:val="32"/>
          <w:szCs w:val="32"/>
          <w:lang w:val="en-US" w:eastAsia="zh-CN"/>
        </w:rPr>
        <w:t>四是</w:t>
      </w:r>
      <w:r>
        <w:rPr>
          <w:rFonts w:hint="eastAsia" w:ascii="仿宋" w:hAnsi="仿宋" w:eastAsia="仿宋" w:cs="仿宋"/>
          <w:kern w:val="2"/>
          <w:sz w:val="32"/>
          <w:szCs w:val="32"/>
        </w:rPr>
        <w:t>丰富选修课程资源库，精选国家精品课程，补充公共选修课程资源库，涵盖科学文化、传统文化、历史人文、技能提升、健康饮食等方面课程内容，全面提升学生综合素质。</w:t>
      </w:r>
    </w:p>
    <w:p>
      <w:pPr>
        <w:snapToGrid/>
        <w:spacing w:line="560" w:lineRule="exact"/>
        <w:ind w:firstLine="321" w:firstLineChars="100"/>
        <w:rPr>
          <w:rFonts w:hint="eastAsia" w:ascii="仿宋" w:hAnsi="仿宋" w:eastAsia="仿宋" w:cs="仿宋"/>
          <w:b w:val="0"/>
          <w:bCs w:val="0"/>
          <w:sz w:val="32"/>
          <w:szCs w:val="32"/>
          <w:lang w:eastAsia="zh-CN"/>
        </w:rPr>
      </w:pPr>
      <w:r>
        <w:rPr>
          <w:rFonts w:hint="eastAsia" w:ascii="仿宋" w:hAnsi="仿宋" w:eastAsia="仿宋" w:cs="仿宋"/>
          <w:b/>
          <w:bCs/>
          <w:sz w:val="32"/>
          <w:szCs w:val="32"/>
        </w:rPr>
        <w:t>（2）创新思政课堂新路径，传承优秀文化</w:t>
      </w:r>
      <w:r>
        <w:rPr>
          <w:rFonts w:hint="eastAsia" w:ascii="仿宋" w:hAnsi="仿宋" w:eastAsia="仿宋" w:cs="仿宋"/>
          <w:b/>
          <w:bCs/>
          <w:sz w:val="32"/>
          <w:szCs w:val="32"/>
          <w:lang w:eastAsia="zh-CN"/>
        </w:rPr>
        <w:t>。</w:t>
      </w:r>
      <w:r>
        <w:rPr>
          <w:rFonts w:hint="eastAsia" w:ascii="仿宋" w:hAnsi="仿宋" w:eastAsia="仿宋" w:cs="仿宋"/>
          <w:sz w:val="32"/>
          <w:szCs w:val="32"/>
        </w:rPr>
        <w:t>扎实推进“一系（科）一品”，打造“三全育人”新格局，创新开设“弘德育才”思政学堂，通过领读国学经典、聆听新时代歌曲，推出</w:t>
      </w:r>
      <w:r>
        <w:rPr>
          <w:rFonts w:hint="eastAsia" w:ascii="仿宋" w:hAnsi="仿宋" w:eastAsia="仿宋" w:cs="仿宋"/>
          <w:kern w:val="2"/>
          <w:sz w:val="32"/>
          <w:szCs w:val="32"/>
          <w:lang w:val="en-US" w:eastAsia="zh-CN" w:bidi="ar-SA"/>
        </w:rPr>
        <w:t>文化育人线上作品46期；开展“爱国红船”主题系列线下活动4场，让红色文化进生活、进课堂，增强学生文化自信；打造“建院精</w:t>
      </w:r>
      <w:r>
        <w:rPr>
          <w:rFonts w:hint="eastAsia" w:ascii="仿宋" w:hAnsi="仿宋" w:eastAsia="仿宋" w:cs="仿宋"/>
          <w:sz w:val="32"/>
          <w:szCs w:val="32"/>
        </w:rPr>
        <w:t>神”主题公开课，弘扬时代精神，奏响“立德树人”最强音。</w:t>
      </w:r>
    </w:p>
    <w:p>
      <w:pPr>
        <w:snapToGrid/>
        <w:spacing w:line="560" w:lineRule="exact"/>
        <w:ind w:firstLine="321" w:firstLineChars="100"/>
        <w:rPr>
          <w:rFonts w:hint="eastAsia" w:ascii="仿宋" w:hAnsi="仿宋" w:eastAsia="仿宋" w:cs="仿宋"/>
          <w:sz w:val="32"/>
          <w:szCs w:val="32"/>
        </w:rPr>
      </w:pPr>
      <w:r>
        <w:rPr>
          <w:rFonts w:hint="eastAsia" w:ascii="仿宋" w:hAnsi="仿宋" w:eastAsia="仿宋" w:cs="仿宋"/>
          <w:b/>
          <w:bCs/>
          <w:sz w:val="32"/>
          <w:szCs w:val="32"/>
        </w:rPr>
        <w:t>（3）</w:t>
      </w:r>
      <w:r>
        <w:rPr>
          <w:rFonts w:hint="eastAsia" w:ascii="仿宋" w:hAnsi="仿宋" w:eastAsia="仿宋" w:cs="仿宋"/>
          <w:b/>
          <w:bCs/>
          <w:kern w:val="2"/>
          <w:sz w:val="32"/>
          <w:szCs w:val="32"/>
          <w:lang w:val="en-US" w:eastAsia="zh-CN" w:bidi="ar-SA"/>
        </w:rPr>
        <w:t>网络思政育人工作更加有效精准</w:t>
      </w:r>
      <w:r>
        <w:rPr>
          <w:rFonts w:hint="eastAsia" w:ascii="仿宋" w:hAnsi="仿宋" w:eastAsia="仿宋" w:cs="仿宋"/>
          <w:b/>
          <w:bCs/>
          <w:sz w:val="32"/>
          <w:szCs w:val="32"/>
        </w:rPr>
        <w:t>，构建网络思政全媒体矩阵，提升学生网络素养</w:t>
      </w:r>
      <w:r>
        <w:rPr>
          <w:rFonts w:hint="eastAsia" w:ascii="仿宋" w:hAnsi="仿宋" w:eastAsia="仿宋" w:cs="仿宋"/>
          <w:b/>
          <w:bCs/>
          <w:sz w:val="32"/>
          <w:szCs w:val="32"/>
          <w:lang w:eastAsia="zh-CN"/>
        </w:rPr>
        <w:t>。</w:t>
      </w:r>
      <w:r>
        <w:rPr>
          <w:rFonts w:hint="eastAsia" w:ascii="仿宋" w:hAnsi="仿宋" w:eastAsia="仿宋" w:cs="仿宋"/>
          <w:sz w:val="32"/>
          <w:szCs w:val="32"/>
        </w:rPr>
        <w:t>紧跟时下热点，秉承“主原创、重服务”的理念，用文字、图片、微视频等多种形式展现学校和学子风采，搭建起师生学习、交流和服务的交互式信息平台，打造具有建院特色的校园网络文化品牌。全年易班网发布400余篇推文，登上全国易班头条26条；抖音发布69条视频，浏览量近50万人次；指导学生参加区第七届大学生网络文化节获二等奖1项，三等奖1项。突出特色深化学生内涵活动，开展“庆祝建党百年”等专题活动26场，累计参与近15万人次，激活育人工作内生动力；在自治区教育厅主办的全区百万学生党史知识网上问答活动中，我校荣获“优秀组织奖”、何丽梅老师获评“优秀管理员”。工作站获教育部易班发展中心授予“易班学生内容创作工作中表现突出”荣誉证书，入选全国首批四星级易班工作站（目前全国最高星级，全国共28所高校入选），是广西入选的唯一高校，何丽梅老师荣获全国“优秀易班指导老师”称号，光明日报报道了我校易班建设工作案例。</w:t>
      </w:r>
    </w:p>
    <w:p>
      <w:pPr>
        <w:pageBreakBefore w:val="0"/>
        <w:kinsoku/>
        <w:wordWrap/>
        <w:overflowPunct/>
        <w:topLinePunct w:val="0"/>
        <w:bidi w:val="0"/>
        <w:spacing w:line="560" w:lineRule="exact"/>
        <w:ind w:left="0" w:leftChars="0" w:right="0" w:rightChars="0"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rPr>
        <w:t>（4）凝心聚力、精准发动，推动武装工作高质量发展</w:t>
      </w:r>
      <w:r>
        <w:rPr>
          <w:rFonts w:hint="eastAsia" w:ascii="仿宋" w:hAnsi="仿宋" w:eastAsia="仿宋" w:cs="仿宋"/>
          <w:b/>
          <w:bCs/>
          <w:sz w:val="32"/>
          <w:szCs w:val="32"/>
          <w:lang w:eastAsia="zh-CN"/>
        </w:rPr>
        <w:t>。</w:t>
      </w:r>
    </w:p>
    <w:p>
      <w:pPr>
        <w:pageBreakBefore w:val="0"/>
        <w:kinsoku/>
        <w:wordWrap/>
        <w:overflowPunct/>
        <w:topLinePunct w:val="0"/>
        <w:bidi w:val="0"/>
        <w:spacing w:line="560" w:lineRule="exact"/>
        <w:ind w:left="0" w:leftChars="0" w:right="0" w:righ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强化征兵责任机制，圆满完成自治区年度征兵任务。我校今年向部队输送了133名“双合格”应届毕业生，超额完成116名的自治区年度征兵指标，完成率为114.7%。设立退役士兵协会，创建退役士兵公寓，积极为退役士兵</w:t>
      </w:r>
      <w:r>
        <w:rPr>
          <w:rFonts w:hint="eastAsia" w:ascii="仿宋" w:hAnsi="仿宋" w:eastAsia="仿宋" w:cs="仿宋"/>
          <w:sz w:val="32"/>
          <w:szCs w:val="32"/>
          <w:lang w:eastAsia="zh-CN"/>
        </w:rPr>
        <w:t>搭建</w:t>
      </w:r>
      <w:r>
        <w:rPr>
          <w:rFonts w:hint="eastAsia" w:ascii="仿宋" w:hAnsi="仿宋" w:eastAsia="仿宋" w:cs="仿宋"/>
          <w:sz w:val="32"/>
          <w:szCs w:val="32"/>
        </w:rPr>
        <w:t>各类风采展示平台，将退役优待政策落到实处。目前我校共有近300名退役士兵在校生，其中92人加入了退役士兵协会，52人</w:t>
      </w:r>
      <w:r>
        <w:rPr>
          <w:rFonts w:hint="eastAsia" w:ascii="仿宋" w:hAnsi="仿宋" w:eastAsia="仿宋" w:cs="仿宋"/>
          <w:sz w:val="32"/>
          <w:szCs w:val="32"/>
          <w:lang w:val="en-US" w:eastAsia="zh-CN"/>
        </w:rPr>
        <w:t>入住了退役士兵公寓。</w:t>
      </w:r>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41" w:name="_Toc80"/>
      <w:r>
        <w:rPr>
          <w:rFonts w:hint="default" w:ascii="Times New Roman" w:hAnsi="Times New Roman" w:eastAsia="楷体" w:cs="Times New Roman"/>
          <w:b/>
          <w:bCs/>
          <w:color w:val="auto"/>
          <w:sz w:val="32"/>
          <w:szCs w:val="32"/>
          <w:highlight w:val="none"/>
          <w:lang w:val="en-US" w:eastAsia="zh-CN"/>
        </w:rPr>
        <w:t>（二）就业质量</w:t>
      </w:r>
      <w:bookmarkEnd w:id="41"/>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仿宋" w:cs="Times New Roman"/>
          <w:b/>
          <w:bCs/>
          <w:color w:val="auto"/>
          <w:sz w:val="32"/>
          <w:szCs w:val="32"/>
          <w:highlight w:val="none"/>
          <w:lang w:val="en-US" w:eastAsia="zh-CN"/>
        </w:rPr>
      </w:pPr>
      <w:bookmarkStart w:id="42" w:name="_Toc32049"/>
      <w:r>
        <w:rPr>
          <w:rFonts w:hint="default" w:ascii="Times New Roman" w:hAnsi="Times New Roman" w:eastAsia="仿宋" w:cs="Times New Roman"/>
          <w:b/>
          <w:bCs/>
          <w:color w:val="auto"/>
          <w:sz w:val="32"/>
          <w:szCs w:val="32"/>
          <w:highlight w:val="none"/>
          <w:lang w:val="en-US" w:eastAsia="zh-CN"/>
        </w:rPr>
        <w:t>1.提升就业质量的举措</w:t>
      </w:r>
      <w:bookmarkEnd w:id="42"/>
    </w:p>
    <w:p>
      <w:pPr>
        <w:spacing w:line="560" w:lineRule="exact"/>
        <w:ind w:firstLine="321" w:firstLineChars="100"/>
        <w:rPr>
          <w:rFonts w:hint="default" w:ascii="Times New Roman" w:hAnsi="Times New Roman" w:eastAsia="仿宋" w:cs="Times New Roman"/>
          <w:b w:val="0"/>
          <w:bCs w:val="0"/>
          <w:sz w:val="32"/>
          <w:szCs w:val="32"/>
        </w:rPr>
      </w:pPr>
      <w:r>
        <w:rPr>
          <w:rFonts w:hint="default" w:ascii="Times New Roman" w:hAnsi="Times New Roman" w:eastAsia="仿宋" w:cs="Times New Roman"/>
          <w:b/>
          <w:bCs/>
          <w:color w:val="auto"/>
          <w:sz w:val="32"/>
          <w:szCs w:val="32"/>
          <w:highlight w:val="none"/>
          <w:lang w:val="en-US" w:eastAsia="zh-CN"/>
        </w:rPr>
        <w:t>（1）建立清晰明确</w:t>
      </w:r>
      <w:r>
        <w:rPr>
          <w:rFonts w:hint="default" w:ascii="Times New Roman" w:hAnsi="Times New Roman" w:eastAsia="仿宋" w:cs="Times New Roman"/>
          <w:b/>
          <w:bCs/>
          <w:sz w:val="32"/>
          <w:szCs w:val="32"/>
        </w:rPr>
        <w:t>的就业工作领导责任机制</w:t>
      </w:r>
      <w:r>
        <w:rPr>
          <w:rFonts w:hint="eastAsia" w:eastAsia="仿宋" w:cs="Times New Roman"/>
          <w:b/>
          <w:bCs/>
          <w:sz w:val="32"/>
          <w:szCs w:val="32"/>
          <w:lang w:eastAsia="zh-CN"/>
        </w:rPr>
        <w:t>。</w:t>
      </w:r>
      <w:r>
        <w:rPr>
          <w:rFonts w:hint="default" w:ascii="Times New Roman" w:hAnsi="Times New Roman" w:eastAsia="仿宋" w:cs="Times New Roman"/>
          <w:b w:val="0"/>
          <w:bCs w:val="0"/>
          <w:sz w:val="32"/>
          <w:szCs w:val="32"/>
        </w:rPr>
        <w:t>学校党委高度重视，将就业创业工作纳入学校发展规划和年度重点工作计划</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成立了以学校党委书记刘晓红、校长吴昆为组长、其他校领导及各二级学院负责人、相关处室负责人组成的2021届毕业生就业创业工作领导小组，多次召开党委会、校长办公会专题研究就业创业工作，制定了《广西建设职业技术学院2021届毕业生就业创业工作方案》确保了毕业生就业工作的有效推进。</w:t>
      </w:r>
    </w:p>
    <w:p>
      <w:pPr>
        <w:pageBreakBefore w:val="0"/>
        <w:tabs>
          <w:tab w:val="left" w:pos="1785"/>
        </w:tabs>
        <w:kinsoku/>
        <w:wordWrap/>
        <w:overflowPunct/>
        <w:topLinePunct w:val="0"/>
        <w:bidi w:val="0"/>
        <w:spacing w:line="590" w:lineRule="exact"/>
        <w:ind w:left="0" w:leftChars="0" w:right="0" w:rightChars="0" w:firstLine="321" w:firstLineChars="1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val="0"/>
          <w:sz w:val="32"/>
          <w:szCs w:val="32"/>
          <w:lang w:eastAsia="zh-CN"/>
        </w:rPr>
        <w:t>（</w:t>
      </w:r>
      <w:r>
        <w:rPr>
          <w:rFonts w:hint="default" w:ascii="Times New Roman" w:hAnsi="Times New Roman" w:eastAsia="仿宋" w:cs="Times New Roman"/>
          <w:b/>
          <w:bCs w:val="0"/>
          <w:sz w:val="32"/>
          <w:szCs w:val="32"/>
          <w:lang w:val="en-US" w:eastAsia="zh-CN"/>
        </w:rPr>
        <w:t>2）</w:t>
      </w:r>
      <w:r>
        <w:rPr>
          <w:rFonts w:hint="default" w:ascii="Times New Roman" w:hAnsi="Times New Roman" w:eastAsia="仿宋" w:cs="Times New Roman"/>
          <w:b/>
          <w:bCs w:val="0"/>
          <w:sz w:val="32"/>
          <w:szCs w:val="32"/>
          <w:lang w:eastAsia="zh-CN"/>
        </w:rPr>
        <w:t>用心用力为毕业生做好就业服务工作</w:t>
      </w:r>
      <w:r>
        <w:rPr>
          <w:rFonts w:hint="eastAsia" w:eastAsia="仿宋" w:cs="Times New Roman"/>
          <w:b/>
          <w:bCs w:val="0"/>
          <w:sz w:val="32"/>
          <w:szCs w:val="32"/>
          <w:lang w:eastAsia="zh-CN"/>
        </w:rPr>
        <w:t>。</w:t>
      </w:r>
      <w:r>
        <w:rPr>
          <w:rFonts w:hint="default" w:ascii="Times New Roman" w:hAnsi="Times New Roman" w:eastAsia="仿宋" w:cs="Times New Roman"/>
          <w:b w:val="0"/>
          <w:bCs/>
          <w:sz w:val="32"/>
          <w:szCs w:val="32"/>
          <w:lang w:val="en-US" w:eastAsia="zh-CN"/>
        </w:rPr>
        <w:t>一是</w:t>
      </w:r>
      <w:r>
        <w:rPr>
          <w:rFonts w:hint="default" w:ascii="Times New Roman" w:hAnsi="Times New Roman" w:eastAsia="仿宋" w:cs="Times New Roman"/>
          <w:b w:val="0"/>
          <w:bCs/>
          <w:sz w:val="32"/>
          <w:szCs w:val="32"/>
        </w:rPr>
        <w:t>拓宽就业渠道，为毕业生就业铺路搭桥</w:t>
      </w:r>
      <w:r>
        <w:rPr>
          <w:rFonts w:hint="default" w:ascii="Times New Roman" w:hAnsi="Times New Roman" w:eastAsia="仿宋" w:cs="Times New Roman"/>
          <w:b w:val="0"/>
          <w:bCs/>
          <w:sz w:val="32"/>
          <w:szCs w:val="32"/>
          <w:lang w:eastAsia="zh-CN"/>
        </w:rPr>
        <w:t>。</w:t>
      </w:r>
      <w:r>
        <w:rPr>
          <w:rFonts w:hint="default" w:ascii="Times New Roman" w:hAnsi="Times New Roman" w:eastAsia="仿宋" w:cs="Times New Roman"/>
          <w:b w:val="0"/>
          <w:bCs/>
          <w:sz w:val="32"/>
          <w:szCs w:val="32"/>
          <w:lang w:val="en-US" w:eastAsia="zh-CN"/>
        </w:rPr>
        <w:t>学校</w:t>
      </w:r>
      <w:r>
        <w:rPr>
          <w:rFonts w:hint="default" w:ascii="Times New Roman" w:hAnsi="Times New Roman" w:eastAsia="仿宋" w:cs="Times New Roman"/>
          <w:sz w:val="32"/>
          <w:szCs w:val="32"/>
        </w:rPr>
        <w:t>依托行业办学特色，建立就业实习、见习基地</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我校与广西建工集团、广西大业建设有限公司、广西建柳工程咨询有限公司等100多家建筑企业签订了校企合作协议、毕业生就业实习、见习基地合作协议。建设行业化、专业化、精品化的校园招聘市场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我校共为2021届毕业生举办了3场共有680家用人单位参会的大型校园招聘会、1场校友企业专场招聘会，以及高达210场次的网络招聘活动。发动、组织毕业生积极参加各类“供需见面会”“双向选择洽谈会”等招聘活动。</w:t>
      </w:r>
      <w:r>
        <w:rPr>
          <w:rFonts w:hint="default" w:ascii="Times New Roman" w:hAnsi="Times New Roman" w:eastAsia="仿宋" w:cs="Times New Roman"/>
          <w:color w:val="000000" w:themeColor="text1"/>
          <w:sz w:val="32"/>
          <w:szCs w:val="32"/>
          <w14:textFill>
            <w14:solidFill>
              <w14:schemeClr w14:val="tx1"/>
            </w14:solidFill>
          </w14:textFill>
        </w:rPr>
        <w:t>开展就业调研活动，为学校的办学、人才培养等工作提</w:t>
      </w:r>
      <w:r>
        <w:rPr>
          <w:rFonts w:hint="default" w:ascii="Times New Roman" w:hAnsi="Times New Roman" w:eastAsia="仿宋" w:cs="Times New Roman"/>
          <w:sz w:val="32"/>
          <w:szCs w:val="32"/>
        </w:rPr>
        <w:t>供理论依据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提高毕业生核心职业竞争力</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b w:val="0"/>
          <w:bCs w:val="0"/>
          <w:sz w:val="32"/>
          <w:szCs w:val="32"/>
          <w:lang w:val="en-US" w:eastAsia="zh-CN"/>
        </w:rPr>
        <w:t>二是</w:t>
      </w:r>
      <w:r>
        <w:rPr>
          <w:rFonts w:hint="default" w:ascii="Times New Roman" w:hAnsi="Times New Roman" w:eastAsia="仿宋" w:cs="Times New Roman"/>
          <w:b w:val="0"/>
          <w:bCs w:val="0"/>
          <w:sz w:val="32"/>
          <w:szCs w:val="32"/>
        </w:rPr>
        <w:t>坚持多措并举，健全“立体式”就业信息推送机制</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sz w:val="32"/>
          <w:szCs w:val="32"/>
        </w:rPr>
        <w:t>主动宣传我校毕业生资源</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向5000多家用人单位寄送《广西建设职业技术学院2021届毕业生资源指南》，让用人单位充分了解我校的毕业生状况。完善学校就业服务平台。实现用人单位发布招聘信息与毕业生投递简历在线化，做到移动、网络媒体信息实时更新，促进就业服务和决策的信息化、精准化、科学化。拓宽就业信息采集、发布渠道。通过学校“就业信息网”、“就业服务平台”、QQ等新媒体工具</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为2021届毕业生提供近2万条有效用人信息。</w:t>
      </w:r>
      <w:r>
        <w:rPr>
          <w:rFonts w:hint="default" w:ascii="Times New Roman" w:hAnsi="Times New Roman" w:eastAsia="仿宋" w:cs="Times New Roman"/>
          <w:color w:val="000000" w:themeColor="text1"/>
          <w:sz w:val="32"/>
          <w:szCs w:val="32"/>
          <w14:textFill>
            <w14:solidFill>
              <w14:schemeClr w14:val="tx1"/>
            </w14:solidFill>
          </w14:textFill>
        </w:rPr>
        <w:t>设置毕业班班级就业信息员</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确保招聘需求信息能够及时与毕业生“点对点”的信息沟通。</w:t>
      </w:r>
      <w:r>
        <w:rPr>
          <w:rFonts w:hint="default"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三是</w:t>
      </w:r>
      <w:r>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t>线下+线上相结合，开展就业指导、就业政策宣传等活动</w:t>
      </w:r>
      <w:r>
        <w:rPr>
          <w:rFonts w:hint="default" w:ascii="Times New Roman" w:hAnsi="Times New Roman" w:eastAsia="仿宋"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强化就业创业实践。组织就业创业指导专家、优秀校友入校开展</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 w:cs="Times New Roman"/>
          <w:color w:val="000000" w:themeColor="text1"/>
          <w:sz w:val="32"/>
          <w:szCs w:val="32"/>
          <w:highlight w:val="none"/>
          <w14:textFill>
            <w14:solidFill>
              <w14:schemeClr w14:val="tx1"/>
            </w14:solidFill>
          </w14:textFill>
        </w:rPr>
        <w:t>场就业创业能力提升专题讲座</w:t>
      </w: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广泛宣传就业创业政策。坚持线上线下相结合，线上以就业网站、微信公众号、QQ群为平台，线下通过开展就业咨询服务点、</w:t>
      </w:r>
      <w:r>
        <w:rPr>
          <w:rFonts w:hint="default" w:ascii="Times New Roman" w:hAnsi="Times New Roman" w:eastAsia="仿宋" w:cs="Times New Roman"/>
          <w:color w:val="auto"/>
          <w:sz w:val="32"/>
          <w:szCs w:val="32"/>
          <w:highlight w:val="none"/>
          <w:lang w:val="en-US" w:eastAsia="zh-CN"/>
        </w:rPr>
        <w:t>就业创业专题讲座等形式，将就业政策及时传递给毕业生。</w:t>
      </w:r>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仿宋" w:cs="Times New Roman"/>
          <w:b/>
          <w:bCs/>
          <w:color w:val="auto"/>
          <w:sz w:val="32"/>
          <w:szCs w:val="32"/>
          <w:highlight w:val="none"/>
          <w:lang w:val="en-US" w:eastAsia="zh-CN"/>
        </w:rPr>
      </w:pPr>
      <w:bookmarkStart w:id="43" w:name="_Toc10799"/>
      <w:r>
        <w:rPr>
          <w:rFonts w:hint="default" w:ascii="Times New Roman" w:hAnsi="Times New Roman" w:eastAsia="仿宋" w:cs="Times New Roman"/>
          <w:b/>
          <w:bCs/>
          <w:color w:val="auto"/>
          <w:sz w:val="32"/>
          <w:szCs w:val="32"/>
          <w:highlight w:val="none"/>
          <w:lang w:val="en-US" w:eastAsia="zh-CN"/>
        </w:rPr>
        <w:t>2.毕业生初次就业率</w:t>
      </w:r>
      <w:bookmarkEnd w:id="43"/>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我校2021届毕业生</w:t>
      </w:r>
      <w:r>
        <w:rPr>
          <w:rFonts w:hint="default" w:ascii="Times New Roman" w:hAnsi="Times New Roman" w:eastAsia="仿宋" w:cs="Times New Roman"/>
          <w:sz w:val="32"/>
          <w:szCs w:val="32"/>
        </w:rPr>
        <w:t>总人数为49</w:t>
      </w:r>
      <w:r>
        <w:rPr>
          <w:rFonts w:hint="default" w:ascii="Times New Roman" w:hAnsi="Times New Roman" w:eastAsia="仿宋" w:cs="Times New Roman"/>
          <w:sz w:val="32"/>
          <w:szCs w:val="32"/>
          <w:lang w:val="en-US" w:eastAsia="zh-CN"/>
        </w:rPr>
        <w:t>88</w:t>
      </w:r>
      <w:r>
        <w:rPr>
          <w:rFonts w:hint="default" w:ascii="Times New Roman" w:hAnsi="Times New Roman" w:eastAsia="仿宋" w:cs="Times New Roman"/>
          <w:sz w:val="32"/>
          <w:szCs w:val="32"/>
        </w:rPr>
        <w:t>人。截至2021年8月31日，</w:t>
      </w:r>
      <w:r>
        <w:rPr>
          <w:rFonts w:hint="default" w:ascii="Times New Roman" w:hAnsi="Times New Roman" w:eastAsia="仿宋" w:cs="Times New Roman"/>
          <w:sz w:val="32"/>
          <w:szCs w:val="32"/>
          <w:lang w:eastAsia="zh-CN"/>
        </w:rPr>
        <w:t>就业人数为</w:t>
      </w:r>
      <w:r>
        <w:rPr>
          <w:rFonts w:hint="default" w:ascii="Times New Roman" w:hAnsi="Times New Roman" w:eastAsia="仿宋" w:cs="Times New Roman"/>
          <w:sz w:val="32"/>
          <w:szCs w:val="32"/>
          <w:lang w:val="en-US" w:eastAsia="zh-CN"/>
        </w:rPr>
        <w:t>4508人，</w:t>
      </w:r>
      <w:r>
        <w:rPr>
          <w:rFonts w:hint="default" w:ascii="Times New Roman" w:hAnsi="Times New Roman" w:eastAsia="仿宋" w:cs="Times New Roman"/>
          <w:sz w:val="32"/>
          <w:szCs w:val="32"/>
        </w:rPr>
        <w:t>初次毕业去向落实率为90.38%</w:t>
      </w:r>
      <w:r>
        <w:rPr>
          <w:rFonts w:hint="default" w:ascii="Times New Roman" w:hAnsi="Times New Roman" w:eastAsia="仿宋" w:cs="Times New Roman"/>
          <w:sz w:val="32"/>
          <w:szCs w:val="32"/>
          <w:lang w:eastAsia="zh-CN"/>
        </w:rPr>
        <w:t>；其中建档立卡贫困户毕业生共636人，落实毕业去向的有606人，毕业去向落实率为95.28%。</w:t>
      </w:r>
      <w:r>
        <w:rPr>
          <w:rFonts w:hint="default" w:ascii="Times New Roman" w:hAnsi="Times New Roman" w:eastAsia="仿宋" w:cs="Times New Roman"/>
          <w:sz w:val="32"/>
          <w:szCs w:val="32"/>
        </w:rPr>
        <w:t>我校2021届毕业生共有2333名毕业生选择在广西区内就业，为</w:t>
      </w:r>
      <w:r>
        <w:rPr>
          <w:rFonts w:hint="default" w:ascii="Times New Roman" w:hAnsi="Times New Roman" w:eastAsia="仿宋" w:cs="Times New Roman"/>
          <w:sz w:val="32"/>
          <w:szCs w:val="32"/>
          <w:lang w:eastAsia="zh-CN"/>
        </w:rPr>
        <w:t>广西经济社会发展</w:t>
      </w:r>
      <w:r>
        <w:rPr>
          <w:rFonts w:hint="default" w:ascii="Times New Roman" w:hAnsi="Times New Roman" w:eastAsia="仿宋" w:cs="Times New Roman"/>
          <w:sz w:val="32"/>
          <w:szCs w:val="32"/>
        </w:rPr>
        <w:t>提供了</w:t>
      </w:r>
      <w:r>
        <w:rPr>
          <w:rFonts w:hint="default" w:ascii="Times New Roman" w:hAnsi="Times New Roman" w:eastAsia="仿宋" w:cs="Times New Roman"/>
          <w:color w:val="auto"/>
          <w:sz w:val="32"/>
          <w:szCs w:val="32"/>
          <w:highlight w:val="none"/>
          <w:lang w:val="en-US" w:eastAsia="zh-CN"/>
        </w:rPr>
        <w:t>建筑类专业人才支撑。</w:t>
      </w:r>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仿宋" w:cs="Times New Roman"/>
          <w:b/>
          <w:bCs/>
          <w:color w:val="auto"/>
          <w:sz w:val="32"/>
          <w:szCs w:val="32"/>
          <w:highlight w:val="none"/>
          <w:lang w:val="en-US" w:eastAsia="zh-CN"/>
        </w:rPr>
      </w:pPr>
      <w:bookmarkStart w:id="44" w:name="_Toc11777"/>
      <w:r>
        <w:rPr>
          <w:rFonts w:hint="default" w:ascii="Times New Roman" w:hAnsi="Times New Roman" w:eastAsia="仿宋" w:cs="Times New Roman"/>
          <w:b/>
          <w:bCs/>
          <w:color w:val="auto"/>
          <w:sz w:val="32"/>
          <w:szCs w:val="32"/>
          <w:highlight w:val="none"/>
          <w:lang w:val="en-US" w:eastAsia="zh-CN"/>
        </w:rPr>
        <w:t>3.毕业生就业质量持续向好</w:t>
      </w:r>
      <w:bookmarkEnd w:id="44"/>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auto"/>
          <w:sz w:val="32"/>
          <w:szCs w:val="32"/>
          <w:highlight w:val="none"/>
          <w:lang w:val="en-US" w:eastAsia="zh-CN"/>
        </w:rPr>
        <w:t>我校2021届毕</w:t>
      </w:r>
      <w:r>
        <w:rPr>
          <w:rFonts w:hint="default" w:ascii="Times New Roman" w:hAnsi="Times New Roman" w:eastAsia="仿宋" w:cs="Times New Roman"/>
          <w:sz w:val="32"/>
          <w:szCs w:val="32"/>
        </w:rPr>
        <w:t>业生就业的专业对口率为89.18%，</w:t>
      </w:r>
      <w:r>
        <w:rPr>
          <w:rFonts w:hint="default" w:ascii="Times New Roman" w:hAnsi="Times New Roman" w:eastAsia="仿宋" w:cs="Times New Roman"/>
          <w:sz w:val="32"/>
          <w:szCs w:val="32"/>
          <w:lang w:eastAsia="zh-CN"/>
        </w:rPr>
        <w:t>其中</w:t>
      </w:r>
      <w:r>
        <w:rPr>
          <w:rFonts w:hint="default" w:ascii="Times New Roman" w:hAnsi="Times New Roman" w:eastAsia="仿宋" w:cs="Times New Roman"/>
          <w:sz w:val="32"/>
          <w:szCs w:val="32"/>
        </w:rPr>
        <w:t>就业行业排名前</w:t>
      </w:r>
      <w:r>
        <w:rPr>
          <w:rFonts w:hint="default" w:ascii="Times New Roman" w:hAnsi="Times New Roman" w:eastAsia="仿宋" w:cs="Times New Roman"/>
          <w:sz w:val="32"/>
          <w:szCs w:val="32"/>
          <w:lang w:eastAsia="zh-CN"/>
        </w:rPr>
        <w:t>五</w:t>
      </w:r>
      <w:r>
        <w:rPr>
          <w:rFonts w:hint="default" w:ascii="Times New Roman" w:hAnsi="Times New Roman" w:eastAsia="仿宋" w:cs="Times New Roman"/>
          <w:sz w:val="32"/>
          <w:szCs w:val="32"/>
        </w:rPr>
        <w:t>位的是：建筑业，信息传输、软件和信息技术服务</w:t>
      </w:r>
      <w:r>
        <w:rPr>
          <w:rFonts w:hint="default" w:ascii="Times New Roman" w:hAnsi="Times New Roman" w:eastAsia="仿宋" w:cs="Times New Roman"/>
          <w:sz w:val="32"/>
          <w:szCs w:val="32"/>
          <w:lang w:val="en-US" w:eastAsia="zh-CN"/>
        </w:rPr>
        <w:t>业，</w:t>
      </w:r>
      <w:r>
        <w:rPr>
          <w:rFonts w:hint="default" w:ascii="Times New Roman" w:hAnsi="Times New Roman" w:eastAsia="仿宋" w:cs="Times New Roman"/>
          <w:sz w:val="32"/>
          <w:szCs w:val="32"/>
        </w:rPr>
        <w:t>租赁和商务服务业</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居民服务、修理和其他服务业</w:t>
      </w:r>
      <w:r>
        <w:rPr>
          <w:rFonts w:hint="default" w:ascii="Times New Roman" w:hAnsi="Times New Roman" w:eastAsia="仿宋" w:cs="Times New Roman"/>
          <w:sz w:val="32"/>
          <w:szCs w:val="32"/>
          <w:lang w:eastAsia="zh-CN"/>
        </w:rPr>
        <w:t>，房地产业</w:t>
      </w:r>
      <w:r>
        <w:rPr>
          <w:rFonts w:hint="default" w:ascii="Times New Roman" w:hAnsi="Times New Roman" w:eastAsia="仿宋" w:cs="Times New Roman"/>
          <w:sz w:val="32"/>
          <w:szCs w:val="32"/>
        </w:rPr>
        <w:t>分别占到毕业生就业总数的</w:t>
      </w:r>
      <w:r>
        <w:rPr>
          <w:rFonts w:hint="default" w:ascii="Times New Roman" w:hAnsi="Times New Roman" w:eastAsia="仿宋" w:cs="Times New Roman"/>
          <w:sz w:val="32"/>
          <w:szCs w:val="32"/>
          <w:lang w:val="en-US" w:eastAsia="zh-CN"/>
        </w:rPr>
        <w:t>62</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8%、</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43</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59</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、4.45%、2.5</w:t>
      </w:r>
      <w:r>
        <w:rPr>
          <w:rFonts w:hint="default" w:ascii="Times New Roman" w:hAnsi="Times New Roman" w:eastAsia="仿宋" w:cs="Times New Roman"/>
          <w:sz w:val="32"/>
          <w:szCs w:val="32"/>
        </w:rPr>
        <w:t>%。建筑行业是我校毕业生主要的就业行业去向，符合我校专业设置及人才培养目标。近三年用人单位对我校毕业生综合素质的满意度均在95%以上。20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年，毕业生就业率连续17年位列同类院校前列。</w:t>
      </w:r>
    </w:p>
    <w:p>
      <w:pPr>
        <w:spacing w:line="590" w:lineRule="exact"/>
        <w:ind w:left="0" w:leftChars="0" w:firstLine="0" w:firstLineChars="0"/>
        <w:jc w:val="center"/>
        <w:rPr>
          <w:rFonts w:hint="default"/>
        </w:rPr>
      </w:pPr>
      <w:bookmarkStart w:id="45" w:name="_Toc14927_WPSOffice_Level3"/>
      <w:r>
        <w:rPr>
          <w:rFonts w:hint="default" w:ascii="Times New Roman" w:hAnsi="Times New Roman" w:eastAsia="仿宋" w:cs="Times New Roman"/>
          <w:sz w:val="28"/>
          <w:szCs w:val="28"/>
        </w:rPr>
        <w:t>表</w:t>
      </w:r>
      <w:r>
        <w:rPr>
          <w:rFonts w:hint="default"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广西建设职业技术学院20</w:t>
      </w:r>
      <w:r>
        <w:rPr>
          <w:rFonts w:hint="default" w:ascii="Times New Roman" w:hAnsi="Times New Roman" w:eastAsia="仿宋" w:cs="Times New Roman"/>
          <w:sz w:val="28"/>
          <w:szCs w:val="28"/>
          <w:lang w:val="en-US" w:eastAsia="zh-CN"/>
        </w:rPr>
        <w:t>21</w:t>
      </w:r>
      <w:r>
        <w:rPr>
          <w:rFonts w:hint="default" w:ascii="Times New Roman" w:hAnsi="Times New Roman" w:eastAsia="仿宋" w:cs="Times New Roman"/>
          <w:sz w:val="28"/>
          <w:szCs w:val="28"/>
        </w:rPr>
        <w:t>届毕业生就业统计表</w:t>
      </w:r>
      <w:bookmarkEnd w:id="45"/>
    </w:p>
    <w:tbl>
      <w:tblPr>
        <w:tblStyle w:val="12"/>
        <w:tblpPr w:leftFromText="180" w:rightFromText="180" w:vertAnchor="text" w:horzAnchor="margin" w:tblpX="1" w:tblpY="2"/>
        <w:tblW w:w="0" w:type="auto"/>
        <w:tblInd w:w="0" w:type="dxa"/>
        <w:tblLayout w:type="fixed"/>
        <w:tblCellMar>
          <w:top w:w="0" w:type="dxa"/>
          <w:left w:w="0" w:type="dxa"/>
          <w:bottom w:w="0" w:type="dxa"/>
          <w:right w:w="0" w:type="dxa"/>
        </w:tblCellMar>
      </w:tblPr>
      <w:tblGrid>
        <w:gridCol w:w="1517"/>
        <w:gridCol w:w="4861"/>
        <w:gridCol w:w="2216"/>
      </w:tblGrid>
      <w:tr>
        <w:tblPrEx>
          <w:tblCellMar>
            <w:top w:w="0" w:type="dxa"/>
            <w:left w:w="0" w:type="dxa"/>
            <w:bottom w:w="0" w:type="dxa"/>
            <w:right w:w="0" w:type="dxa"/>
          </w:tblCellMar>
        </w:tblPrEx>
        <w:trPr>
          <w:trHeight w:val="340" w:hRule="atLeast"/>
        </w:trPr>
        <w:tc>
          <w:tcPr>
            <w:tcW w:w="1517"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leftChars="0" w:right="0" w:firstLine="0" w:firstLineChars="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序号</w:t>
            </w:r>
          </w:p>
        </w:tc>
        <w:tc>
          <w:tcPr>
            <w:tcW w:w="4861"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leftChars="0" w:right="0" w:firstLine="0" w:firstLineChars="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统计项目</w:t>
            </w:r>
          </w:p>
        </w:tc>
        <w:tc>
          <w:tcPr>
            <w:tcW w:w="2216"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leftChars="0" w:right="0" w:firstLine="0" w:firstLineChars="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比例</w:t>
            </w:r>
          </w:p>
        </w:tc>
      </w:tr>
      <w:tr>
        <w:tblPrEx>
          <w:tblCellMar>
            <w:top w:w="0" w:type="dxa"/>
            <w:left w:w="0" w:type="dxa"/>
            <w:bottom w:w="0" w:type="dxa"/>
            <w:right w:w="0" w:type="dxa"/>
          </w:tblCellMar>
        </w:tblPrEx>
        <w:trPr>
          <w:trHeight w:val="340" w:hRule="atLeast"/>
        </w:trPr>
        <w:tc>
          <w:tcPr>
            <w:tcW w:w="1517"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6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4861"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6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初次</w:t>
            </w:r>
            <w:r>
              <w:rPr>
                <w:rFonts w:hint="default" w:ascii="Times New Roman" w:hAnsi="Times New Roman" w:eastAsia="仿宋" w:cs="Times New Roman"/>
                <w:sz w:val="28"/>
                <w:szCs w:val="28"/>
                <w:lang w:eastAsia="zh-CN"/>
              </w:rPr>
              <w:t>毕业去向落实</w:t>
            </w:r>
            <w:r>
              <w:rPr>
                <w:rFonts w:hint="default" w:ascii="Times New Roman" w:hAnsi="Times New Roman" w:eastAsia="仿宋" w:cs="Times New Roman"/>
                <w:sz w:val="28"/>
                <w:szCs w:val="28"/>
              </w:rPr>
              <w:t>率</w:t>
            </w:r>
          </w:p>
        </w:tc>
        <w:tc>
          <w:tcPr>
            <w:tcW w:w="2216"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6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w:t>
            </w:r>
            <w:r>
              <w:rPr>
                <w:rFonts w:hint="default" w:ascii="Times New Roman" w:hAnsi="Times New Roman" w:eastAsia="仿宋" w:cs="Times New Roman"/>
                <w:sz w:val="28"/>
                <w:szCs w:val="28"/>
                <w:lang w:val="en-US" w:eastAsia="zh-CN"/>
              </w:rPr>
              <w:t>0</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38</w:t>
            </w:r>
            <w:r>
              <w:rPr>
                <w:rFonts w:hint="default" w:ascii="Times New Roman" w:hAnsi="Times New Roman" w:eastAsia="仿宋" w:cs="Times New Roman"/>
                <w:sz w:val="28"/>
                <w:szCs w:val="28"/>
              </w:rPr>
              <w:t>%</w:t>
            </w:r>
          </w:p>
        </w:tc>
      </w:tr>
      <w:tr>
        <w:tblPrEx>
          <w:tblCellMar>
            <w:top w:w="0" w:type="dxa"/>
            <w:left w:w="0" w:type="dxa"/>
            <w:bottom w:w="0" w:type="dxa"/>
            <w:right w:w="0" w:type="dxa"/>
          </w:tblCellMar>
        </w:tblPrEx>
        <w:trPr>
          <w:trHeight w:val="340" w:hRule="atLeast"/>
        </w:trPr>
        <w:tc>
          <w:tcPr>
            <w:tcW w:w="1517"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6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4861"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6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建档立卡毕业生群体就业率</w:t>
            </w:r>
          </w:p>
        </w:tc>
        <w:tc>
          <w:tcPr>
            <w:tcW w:w="2216"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6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28</w:t>
            </w:r>
            <w:r>
              <w:rPr>
                <w:rFonts w:hint="default" w:ascii="Times New Roman" w:hAnsi="Times New Roman" w:eastAsia="仿宋" w:cs="Times New Roman"/>
                <w:sz w:val="28"/>
                <w:szCs w:val="28"/>
              </w:rPr>
              <w:t>%</w:t>
            </w:r>
          </w:p>
        </w:tc>
      </w:tr>
      <w:tr>
        <w:tblPrEx>
          <w:tblCellMar>
            <w:top w:w="0" w:type="dxa"/>
            <w:left w:w="0" w:type="dxa"/>
            <w:bottom w:w="0" w:type="dxa"/>
            <w:right w:w="0" w:type="dxa"/>
          </w:tblCellMar>
        </w:tblPrEx>
        <w:trPr>
          <w:trHeight w:val="340" w:hRule="atLeast"/>
        </w:trPr>
        <w:tc>
          <w:tcPr>
            <w:tcW w:w="1517"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6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4861"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6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专业对口率</w:t>
            </w:r>
          </w:p>
        </w:tc>
        <w:tc>
          <w:tcPr>
            <w:tcW w:w="2216"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600"/>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89</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18</w:t>
            </w:r>
            <w:r>
              <w:rPr>
                <w:rFonts w:hint="default" w:ascii="Times New Roman" w:hAnsi="Times New Roman" w:eastAsia="仿宋" w:cs="Times New Roman"/>
                <w:sz w:val="28"/>
                <w:szCs w:val="28"/>
              </w:rPr>
              <w:t>%</w:t>
            </w:r>
          </w:p>
        </w:tc>
      </w:tr>
      <w:tr>
        <w:tblPrEx>
          <w:tblCellMar>
            <w:top w:w="0" w:type="dxa"/>
            <w:left w:w="0" w:type="dxa"/>
            <w:bottom w:w="0" w:type="dxa"/>
            <w:right w:w="0" w:type="dxa"/>
          </w:tblCellMar>
        </w:tblPrEx>
        <w:trPr>
          <w:trHeight w:val="340" w:hRule="atLeast"/>
        </w:trPr>
        <w:tc>
          <w:tcPr>
            <w:tcW w:w="1517"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6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p>
        </w:tc>
        <w:tc>
          <w:tcPr>
            <w:tcW w:w="4861"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6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毕业生就业满意度</w:t>
            </w:r>
          </w:p>
        </w:tc>
        <w:tc>
          <w:tcPr>
            <w:tcW w:w="2216"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840" w:firstLineChars="3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w:t>
            </w:r>
            <w:r>
              <w:rPr>
                <w:rFonts w:hint="default" w:ascii="Times New Roman" w:hAnsi="Times New Roman" w:eastAsia="仿宋" w:cs="Times New Roman"/>
                <w:sz w:val="28"/>
                <w:szCs w:val="28"/>
                <w:lang w:val="en-US" w:eastAsia="zh-CN"/>
              </w:rPr>
              <w:t>8</w:t>
            </w:r>
            <w:r>
              <w:rPr>
                <w:rFonts w:hint="default" w:ascii="Times New Roman" w:hAnsi="Times New Roman" w:eastAsia="仿宋" w:cs="Times New Roman"/>
                <w:sz w:val="28"/>
                <w:szCs w:val="28"/>
              </w:rPr>
              <w:t>%</w:t>
            </w:r>
          </w:p>
        </w:tc>
      </w:tr>
      <w:tr>
        <w:tblPrEx>
          <w:tblCellMar>
            <w:top w:w="0" w:type="dxa"/>
            <w:left w:w="0" w:type="dxa"/>
            <w:bottom w:w="0" w:type="dxa"/>
            <w:right w:w="0" w:type="dxa"/>
          </w:tblCellMar>
        </w:tblPrEx>
        <w:trPr>
          <w:trHeight w:val="340" w:hRule="atLeast"/>
        </w:trPr>
        <w:tc>
          <w:tcPr>
            <w:tcW w:w="1517"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6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p>
        </w:tc>
        <w:tc>
          <w:tcPr>
            <w:tcW w:w="4861"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6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用人单位满意度</w:t>
            </w:r>
          </w:p>
        </w:tc>
        <w:tc>
          <w:tcPr>
            <w:tcW w:w="2216"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840" w:firstLineChars="3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w:t>
            </w:r>
            <w:r>
              <w:rPr>
                <w:rFonts w:hint="default" w:ascii="Times New Roman" w:hAnsi="Times New Roman" w:eastAsia="仿宋" w:cs="Times New Roman"/>
                <w:sz w:val="28"/>
                <w:szCs w:val="28"/>
                <w:lang w:val="en-US" w:eastAsia="zh-CN"/>
              </w:rPr>
              <w:t>6</w:t>
            </w:r>
            <w:r>
              <w:rPr>
                <w:rFonts w:hint="default" w:ascii="Times New Roman" w:hAnsi="Times New Roman" w:eastAsia="仿宋" w:cs="Times New Roman"/>
                <w:sz w:val="28"/>
                <w:szCs w:val="28"/>
              </w:rPr>
              <w:t>%</w:t>
            </w:r>
          </w:p>
        </w:tc>
      </w:tr>
      <w:tr>
        <w:tblPrEx>
          <w:tblCellMar>
            <w:top w:w="0" w:type="dxa"/>
            <w:left w:w="0" w:type="dxa"/>
            <w:bottom w:w="0" w:type="dxa"/>
            <w:right w:w="0" w:type="dxa"/>
          </w:tblCellMar>
        </w:tblPrEx>
        <w:trPr>
          <w:trHeight w:val="340" w:hRule="atLeast"/>
        </w:trPr>
        <w:tc>
          <w:tcPr>
            <w:tcW w:w="1517"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6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w:t>
            </w:r>
          </w:p>
        </w:tc>
        <w:tc>
          <w:tcPr>
            <w:tcW w:w="4861"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6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专升本</w:t>
            </w:r>
          </w:p>
        </w:tc>
        <w:tc>
          <w:tcPr>
            <w:tcW w:w="2216" w:type="dxa"/>
            <w:tcBorders>
              <w:top w:val="single" w:color="000000" w:sz="8" w:space="0"/>
              <w:left w:val="single" w:color="000000" w:sz="8" w:space="0"/>
              <w:bottom w:val="single" w:color="000000" w:sz="8" w:space="0"/>
              <w:right w:val="single" w:color="000000" w:sz="8" w:space="0"/>
            </w:tcBorders>
            <w:noWrap w:val="0"/>
            <w:tcMar>
              <w:top w:w="72" w:type="dxa"/>
              <w:left w:w="144" w:type="dxa"/>
              <w:bottom w:w="72" w:type="dxa"/>
              <w:right w:w="144" w:type="dxa"/>
            </w:tcMar>
            <w:vAlign w:val="center"/>
          </w:tcPr>
          <w:p>
            <w:pPr>
              <w:keepNext w:val="0"/>
              <w:keepLines w:val="0"/>
              <w:suppressLineNumbers w:val="0"/>
              <w:spacing w:before="0" w:beforeAutospacing="0" w:after="0" w:afterAutospacing="0" w:line="590" w:lineRule="exact"/>
              <w:ind w:left="0" w:right="0" w:firstLine="600"/>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32</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28</w:t>
            </w:r>
            <w:r>
              <w:rPr>
                <w:rFonts w:hint="default" w:ascii="Times New Roman" w:hAnsi="Times New Roman" w:eastAsia="仿宋" w:cs="Times New Roman"/>
                <w:sz w:val="28"/>
                <w:szCs w:val="28"/>
              </w:rPr>
              <w:t>%</w:t>
            </w:r>
          </w:p>
        </w:tc>
      </w:tr>
    </w:tbl>
    <w:p>
      <w:pPr>
        <w:pStyle w:val="4"/>
        <w:keepNext/>
        <w:keepLines/>
        <w:pageBreakBefore w:val="0"/>
        <w:widowControl w:val="0"/>
        <w:kinsoku/>
        <w:wordWrap/>
        <w:overflowPunct/>
        <w:topLinePunct w:val="0"/>
        <w:autoSpaceDE/>
        <w:autoSpaceDN/>
        <w:bidi w:val="0"/>
        <w:adjustRightInd/>
        <w:snapToGrid/>
        <w:spacing w:line="0" w:lineRule="atLeast"/>
        <w:ind w:left="0" w:leftChars="0" w:firstLine="321" w:firstLineChars="100"/>
        <w:textAlignment w:val="auto"/>
        <w:rPr>
          <w:rFonts w:hint="default" w:ascii="Times New Roman" w:hAnsi="Times New Roman"/>
          <w:lang w:val="en-US" w:eastAsia="zh-CN"/>
        </w:rPr>
      </w:pPr>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46" w:name="_Toc24859"/>
      <w:r>
        <w:rPr>
          <w:rFonts w:hint="default" w:ascii="Times New Roman" w:hAnsi="Times New Roman" w:eastAsia="楷体" w:cs="Times New Roman"/>
          <w:b/>
          <w:bCs/>
          <w:color w:val="auto"/>
          <w:sz w:val="32"/>
          <w:szCs w:val="32"/>
          <w:highlight w:val="none"/>
          <w:lang w:val="en-US" w:eastAsia="zh-CN"/>
        </w:rPr>
        <w:t>（三）在校体验</w:t>
      </w:r>
      <w:bookmarkEnd w:id="46"/>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仿宋" w:cs="Times New Roman"/>
          <w:b/>
          <w:bCs/>
          <w:sz w:val="32"/>
          <w:szCs w:val="32"/>
          <w:lang w:val="en-US" w:eastAsia="zh-CN"/>
        </w:rPr>
      </w:pPr>
      <w:bookmarkStart w:id="47" w:name="_Toc12110"/>
      <w:r>
        <w:rPr>
          <w:rFonts w:hint="default" w:ascii="Times New Roman" w:hAnsi="Times New Roman" w:eastAsia="仿宋" w:cs="Times New Roman"/>
          <w:b/>
          <w:bCs/>
          <w:sz w:val="32"/>
          <w:szCs w:val="32"/>
          <w:lang w:val="en-US" w:eastAsia="zh-CN"/>
        </w:rPr>
        <w:t>1.安全管理</w:t>
      </w:r>
      <w:bookmarkEnd w:id="47"/>
    </w:p>
    <w:p>
      <w:pPr>
        <w:pageBreakBefore w:val="0"/>
        <w:kinsoku/>
        <w:wordWrap/>
        <w:overflowPunct/>
        <w:topLinePunct w:val="0"/>
        <w:bidi w:val="0"/>
        <w:spacing w:line="560" w:lineRule="exact"/>
        <w:ind w:left="0" w:leftChars="0" w:right="0" w:rightChars="0" w:firstLine="600"/>
        <w:textAlignment w:val="auto"/>
        <w:rPr>
          <w:rFonts w:ascii="Times New Roman" w:hAnsi="Times New Roman" w:eastAsia="仿宋"/>
          <w:sz w:val="32"/>
          <w:szCs w:val="32"/>
        </w:rPr>
      </w:pPr>
      <w:r>
        <w:rPr>
          <w:rFonts w:hint="default" w:ascii="Times New Roman" w:hAnsi="Times New Roman" w:eastAsia="仿宋" w:cs="Times New Roman"/>
          <w:sz w:val="32"/>
          <w:szCs w:val="32"/>
          <w:lang w:val="en-US" w:eastAsia="zh-CN"/>
        </w:rPr>
        <w:t>一是落实依法治校，推进学生管理制度化。完善学代会、学生民主座谈会制度，修订了《大学生手册》。加强安全教育工作的指导力度，</w:t>
      </w:r>
      <w:r>
        <w:rPr>
          <w:rFonts w:ascii="Times New Roman" w:hAnsi="Times New Roman" w:eastAsia="仿宋"/>
          <w:sz w:val="32"/>
          <w:szCs w:val="32"/>
        </w:rPr>
        <w:t xml:space="preserve">落实每周安全排查制度，每学期开展校级安全教育讲座、法治讲座、安全逃生演习，覆盖全体在校生。 </w:t>
      </w:r>
    </w:p>
    <w:p>
      <w:pPr>
        <w:snapToGrid/>
        <w:spacing w:line="560" w:lineRule="exact"/>
        <w:ind w:firstLine="600" w:firstLineChars="0"/>
        <w:rPr>
          <w:rFonts w:ascii="Times New Roman" w:hAnsi="Times New Roman" w:eastAsia="仿宋"/>
          <w:sz w:val="32"/>
          <w:szCs w:val="32"/>
        </w:rPr>
      </w:pPr>
      <w:r>
        <w:rPr>
          <w:rFonts w:ascii="Times New Roman" w:hAnsi="Times New Roman" w:eastAsia="仿宋"/>
          <w:b w:val="0"/>
          <w:bCs w:val="0"/>
          <w:sz w:val="32"/>
          <w:szCs w:val="32"/>
        </w:rPr>
        <w:t>二是加强学生公寓安全教育，创新公寓育人模式。</w:t>
      </w:r>
      <w:r>
        <w:rPr>
          <w:rFonts w:ascii="Times New Roman" w:hAnsi="Times New Roman" w:eastAsia="仿宋"/>
          <w:sz w:val="32"/>
          <w:szCs w:val="32"/>
        </w:rPr>
        <w:t>为加快推进《健康中国行动（2019-2030年）》控烟行动实施，积极协同上级有关部门设置户外吸烟区，推行校园控烟，共同推动开展无烟宿舍建设；开展宿舍安全文明知识竞赛，强化安全文明知识宣传，文明和谐宿舍优秀率同比增长16%。积极探索生活课堂进公寓育人模式，聚焦以文化人。推进校企深度合作，合力在学生公寓创建集送水服务、资助实践和文化生活课堂于一体的“学生公寓文化生活馆”“学生公寓饮用水配送中心”等品牌项目，生活馆开课以来，开设茶艺、花艺、瑜伽、礼仪、衣物归纳整理、美甲、化妆等课程50多期，培训学生1200多人次，助推学生提高生活技能，营造良好的育人环境。该项工作得到自治区教育厅充分肯定，我校受邀在全区高校学工工作会议上做典型经验发言。</w:t>
      </w:r>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仿宋" w:cs="Times New Roman"/>
          <w:sz w:val="32"/>
          <w:szCs w:val="32"/>
          <w:lang w:val="en-US" w:eastAsia="zh-CN"/>
        </w:rPr>
      </w:pPr>
      <w:r>
        <w:rPr>
          <w:rFonts w:ascii="Times New Roman" w:hAnsi="Times New Roman" w:eastAsia="仿宋"/>
          <w:b w:val="0"/>
          <w:bCs w:val="0"/>
          <w:sz w:val="32"/>
          <w:szCs w:val="32"/>
        </w:rPr>
        <w:t>三是借助信息化手段，助力学生宿舍安全管理。</w:t>
      </w:r>
      <w:r>
        <w:rPr>
          <w:rFonts w:ascii="Times New Roman" w:hAnsi="Times New Roman" w:eastAsia="仿宋"/>
          <w:sz w:val="32"/>
          <w:szCs w:val="32"/>
        </w:rPr>
        <w:t>每个公寓门厅安装闸机通道和人脸识别系统，本公寓学生和学校工作人员、老师通过刷脸进出，其他外来人员要审核核对信息方可进入。同时完善公寓监控摄像头覆盖面，在每个宿舍安</w:t>
      </w:r>
      <w:r>
        <w:rPr>
          <w:rFonts w:hint="default" w:ascii="Times New Roman" w:hAnsi="Times New Roman" w:eastAsia="仿宋" w:cs="Times New Roman"/>
          <w:sz w:val="32"/>
          <w:szCs w:val="32"/>
          <w:lang w:val="en-US" w:eastAsia="zh-CN"/>
        </w:rPr>
        <w:t xml:space="preserve">装烟感报警系统，为公寓安全管理提供保障。                                                                       </w:t>
      </w:r>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仿宋" w:cs="Times New Roman"/>
          <w:b/>
          <w:bCs/>
          <w:sz w:val="32"/>
          <w:szCs w:val="32"/>
          <w:lang w:val="en-US" w:eastAsia="zh-CN"/>
        </w:rPr>
      </w:pPr>
      <w:bookmarkStart w:id="48" w:name="_Toc25759"/>
      <w:r>
        <w:rPr>
          <w:rFonts w:hint="default" w:ascii="Times New Roman" w:hAnsi="Times New Roman" w:eastAsia="仿宋" w:cs="Times New Roman"/>
          <w:b/>
          <w:bCs/>
          <w:sz w:val="32"/>
          <w:szCs w:val="32"/>
          <w:lang w:val="en-US" w:eastAsia="zh-CN"/>
        </w:rPr>
        <w:t>2.团学活动</w:t>
      </w:r>
      <w:bookmarkEnd w:id="48"/>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val="0"/>
          <w:bCs w:val="0"/>
          <w:sz w:val="32"/>
          <w:szCs w:val="32"/>
          <w:lang w:val="en-US" w:eastAsia="zh-CN"/>
        </w:rPr>
        <w:t>一是全面推行“第二课堂成绩单”。</w:t>
      </w:r>
      <w:r>
        <w:rPr>
          <w:rFonts w:hint="default" w:ascii="Times New Roman" w:hAnsi="Times New Roman" w:eastAsia="仿宋" w:cs="Times New Roman"/>
          <w:sz w:val="32"/>
          <w:szCs w:val="32"/>
          <w:lang w:val="en-US" w:eastAsia="zh-CN"/>
        </w:rPr>
        <w:t>作为第一课堂的有机补充，服务学校立德树人中心工作，</w:t>
      </w:r>
      <w:r>
        <w:rPr>
          <w:rFonts w:hint="default" w:ascii="Times New Roman" w:hAnsi="Times New Roman" w:eastAsia="仿宋" w:cs="Times New Roman"/>
          <w:b w:val="0"/>
          <w:bCs w:val="0"/>
          <w:sz w:val="32"/>
          <w:szCs w:val="32"/>
          <w:lang w:val="en-US" w:eastAsia="zh-CN"/>
        </w:rPr>
        <w:t>“第二课堂成绩单”</w:t>
      </w:r>
      <w:r>
        <w:rPr>
          <w:rFonts w:hint="default" w:ascii="Times New Roman" w:hAnsi="Times New Roman" w:eastAsia="仿宋" w:cs="Times New Roman"/>
          <w:sz w:val="32"/>
          <w:szCs w:val="32"/>
          <w:lang w:val="en-US" w:eastAsia="zh-CN"/>
        </w:rPr>
        <w:t>具有“客观记录、科学评价、促进成长、服务大局、提升工作、融入社会”等6方面功能。通过客观记录、有效认证、科学评价学生参与第二课堂活动的经历和成果，促进“第二课堂成绩单”成为学生在校期间综合素质评价评奖评优、推优入党及社会单位选人用人的重要依据。</w:t>
      </w:r>
      <w:r>
        <w:rPr>
          <w:rFonts w:hint="default" w:ascii="Times New Roman" w:hAnsi="Times New Roman" w:eastAsia="仿宋" w:cs="Times New Roman"/>
          <w:sz w:val="32"/>
          <w:szCs w:val="32"/>
          <w:lang w:eastAsia="zh-CN"/>
        </w:rPr>
        <w:t>截</w:t>
      </w:r>
      <w:r>
        <w:rPr>
          <w:rFonts w:hint="default" w:ascii="Times New Roman" w:hAnsi="Times New Roman" w:eastAsia="仿宋" w:cs="Times New Roman"/>
          <w:sz w:val="32"/>
          <w:szCs w:val="32"/>
        </w:rPr>
        <w:t>至</w:t>
      </w:r>
      <w:r>
        <w:rPr>
          <w:rFonts w:hint="default" w:ascii="Times New Roman" w:hAnsi="Times New Roman" w:eastAsia="仿宋" w:cs="Times New Roman"/>
          <w:sz w:val="32"/>
          <w:szCs w:val="32"/>
          <w:lang w:val="en-US" w:eastAsia="zh-CN"/>
        </w:rPr>
        <w:t>2021年11</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29</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全校共有</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名教师绑定“</w:t>
      </w:r>
      <w:r>
        <w:rPr>
          <w:rFonts w:hint="default" w:ascii="Times New Roman" w:hAnsi="Times New Roman" w:eastAsia="仿宋" w:cs="Times New Roman"/>
          <w:sz w:val="32"/>
          <w:szCs w:val="32"/>
          <w:lang w:eastAsia="zh-CN"/>
        </w:rPr>
        <w:t>到梦空间</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教师服务端</w:t>
      </w:r>
      <w:r>
        <w:rPr>
          <w:rFonts w:hint="default" w:ascii="Times New Roman" w:hAnsi="Times New Roman" w:eastAsia="仿宋" w:cs="Times New Roman"/>
          <w:sz w:val="32"/>
          <w:szCs w:val="32"/>
        </w:rPr>
        <w:t>微信</w:t>
      </w:r>
      <w:r>
        <w:rPr>
          <w:rFonts w:hint="default" w:ascii="Times New Roman" w:hAnsi="Times New Roman" w:eastAsia="仿宋" w:cs="Times New Roman"/>
          <w:sz w:val="32"/>
          <w:szCs w:val="32"/>
          <w:lang w:eastAsia="zh-CN"/>
        </w:rPr>
        <w:t>公众</w:t>
      </w:r>
      <w:r>
        <w:rPr>
          <w:rFonts w:hint="default" w:ascii="Times New Roman" w:hAnsi="Times New Roman" w:eastAsia="仿宋" w:cs="Times New Roman"/>
          <w:sz w:val="32"/>
          <w:szCs w:val="32"/>
        </w:rPr>
        <w:t>号，其中，</w:t>
      </w:r>
      <w:r>
        <w:rPr>
          <w:rFonts w:hint="default" w:ascii="Times New Roman" w:hAnsi="Times New Roman" w:eastAsia="仿宋" w:cs="Times New Roman"/>
          <w:sz w:val="32"/>
          <w:szCs w:val="32"/>
          <w:lang w:val="en-US" w:eastAsia="zh-CN"/>
        </w:rPr>
        <w:t>活动数量达1415次，</w:t>
      </w:r>
      <w:r>
        <w:rPr>
          <w:rFonts w:hint="default" w:ascii="Times New Roman" w:hAnsi="Times New Roman" w:eastAsia="仿宋" w:cs="Times New Roman"/>
          <w:sz w:val="32"/>
          <w:szCs w:val="32"/>
          <w:lang w:eastAsia="zh-CN"/>
        </w:rPr>
        <w:t>活动参与</w:t>
      </w:r>
      <w:r>
        <w:rPr>
          <w:rFonts w:hint="default" w:ascii="Times New Roman" w:hAnsi="Times New Roman" w:eastAsia="仿宋" w:cs="Times New Roman"/>
          <w:sz w:val="32"/>
          <w:szCs w:val="32"/>
        </w:rPr>
        <w:t>总数</w:t>
      </w:r>
      <w:r>
        <w:rPr>
          <w:rFonts w:hint="default" w:ascii="Times New Roman" w:hAnsi="Times New Roman" w:eastAsia="仿宋" w:cs="Times New Roman"/>
          <w:sz w:val="32"/>
          <w:szCs w:val="32"/>
          <w:lang w:val="en-US" w:eastAsia="zh-CN"/>
        </w:rPr>
        <w:t>73457</w:t>
      </w:r>
      <w:r>
        <w:rPr>
          <w:rFonts w:hint="default" w:ascii="Times New Roman" w:hAnsi="Times New Roman" w:eastAsia="仿宋" w:cs="Times New Roman"/>
          <w:sz w:val="32"/>
          <w:szCs w:val="32"/>
        </w:rPr>
        <w:t>人次，</w:t>
      </w:r>
      <w:r>
        <w:rPr>
          <w:rFonts w:hint="default" w:ascii="Times New Roman" w:hAnsi="Times New Roman" w:eastAsia="仿宋" w:cs="Times New Roman"/>
          <w:sz w:val="32"/>
          <w:szCs w:val="32"/>
          <w:lang w:val="en-US" w:eastAsia="zh-CN"/>
        </w:rPr>
        <w:t>人均参与活动数8.3，</w:t>
      </w:r>
      <w:r>
        <w:rPr>
          <w:rFonts w:hint="default" w:ascii="Times New Roman" w:hAnsi="Times New Roman" w:eastAsia="仿宋" w:cs="Times New Roman"/>
          <w:sz w:val="32"/>
          <w:szCs w:val="32"/>
        </w:rPr>
        <w:t>学生参与活动并成功签到</w:t>
      </w:r>
      <w:r>
        <w:rPr>
          <w:rFonts w:hint="default" w:ascii="Times New Roman" w:hAnsi="Times New Roman" w:eastAsia="仿宋" w:cs="Times New Roman"/>
          <w:sz w:val="32"/>
          <w:szCs w:val="32"/>
          <w:lang w:eastAsia="zh-CN"/>
        </w:rPr>
        <w:t>百分率达</w:t>
      </w:r>
      <w:r>
        <w:rPr>
          <w:rFonts w:hint="default" w:ascii="Times New Roman" w:hAnsi="Times New Roman" w:eastAsia="仿宋" w:cs="Times New Roman"/>
          <w:sz w:val="32"/>
          <w:szCs w:val="32"/>
          <w:lang w:val="en-US" w:eastAsia="zh-CN"/>
        </w:rPr>
        <w:t>97％。</w:t>
      </w:r>
    </w:p>
    <w:p>
      <w:pPr>
        <w:keepNext w:val="0"/>
        <w:keepLines w:val="0"/>
        <w:pageBreakBefore w:val="0"/>
        <w:widowControl/>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根据</w:t>
      </w:r>
      <w:r>
        <w:rPr>
          <w:rFonts w:hint="default" w:ascii="Times New Roman" w:hAnsi="Times New Roman" w:eastAsia="仿宋" w:cs="Times New Roman"/>
          <w:sz w:val="32"/>
          <w:szCs w:val="32"/>
        </w:rPr>
        <w:t>共青团广西区委、自治区教育厅联合下发的《关于公布2021年广西高校共青团“第二课堂成绩单”精品课程立项项目名单的通知》</w:t>
      </w:r>
      <w:r>
        <w:rPr>
          <w:rFonts w:hint="default" w:ascii="Times New Roman" w:hAnsi="Times New Roman" w:eastAsia="仿宋" w:cs="Times New Roman"/>
          <w:sz w:val="32"/>
          <w:szCs w:val="32"/>
          <w:lang w:val="en-US" w:eastAsia="zh-CN"/>
        </w:rPr>
        <w:t>，我校第二课堂课程《从中国特色扶贫到乡村振兴——后疫情时代下的乡村振兴志愿服务活动》获得自治区重点立项。</w:t>
      </w:r>
    </w:p>
    <w:p>
      <w:pPr>
        <w:keepNext w:val="0"/>
        <w:keepLines w:val="0"/>
        <w:pageBreakBefore w:val="0"/>
        <w:widowControl/>
        <w:kinsoku/>
        <w:wordWrap/>
        <w:overflowPunct/>
        <w:topLinePunct w:val="0"/>
        <w:autoSpaceDE/>
        <w:autoSpaceDN/>
        <w:bidi w:val="0"/>
        <w:adjustRightInd/>
        <w:snapToGrid/>
        <w:spacing w:line="560" w:lineRule="exact"/>
        <w:ind w:left="0" w:leftChars="0" w:firstLine="600" w:firstLineChars="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val="0"/>
          <w:bCs w:val="0"/>
          <w:sz w:val="32"/>
          <w:szCs w:val="32"/>
          <w:lang w:val="en-US" w:eastAsia="zh-CN"/>
        </w:rPr>
        <w:t>二是社团活动规范化，活动类型多样化。</w:t>
      </w:r>
      <w:r>
        <w:rPr>
          <w:rFonts w:hint="default" w:ascii="Times New Roman" w:hAnsi="Times New Roman" w:eastAsia="仿宋" w:cs="Times New Roman"/>
          <w:sz w:val="32"/>
          <w:szCs w:val="32"/>
          <w:lang w:val="en-US" w:eastAsia="zh-CN"/>
        </w:rPr>
        <w:t>学校现有43个学生社团，分为五大类，学术科技类有14个、体育户外类有7个、文化艺术类有9个、表演艺术类有6个、社会实践及公益类有7个。</w:t>
      </w:r>
    </w:p>
    <w:p>
      <w:pPr>
        <w:keepNext w:val="0"/>
        <w:keepLines w:val="0"/>
        <w:pageBreakBefore w:val="0"/>
        <w:widowControl/>
        <w:kinsoku/>
        <w:wordWrap/>
        <w:overflowPunct/>
        <w:topLinePunct w:val="0"/>
        <w:autoSpaceDE/>
        <w:autoSpaceDN/>
        <w:bidi w:val="0"/>
        <w:adjustRightInd/>
        <w:snapToGrid/>
        <w:spacing w:line="560" w:lineRule="exact"/>
        <w:ind w:firstLine="6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贯彻落实中共教育部党组、共青团中央和团区委学生社团管理相关文件要求，修订我校《学生社团建设管理办法》和《学生社团指导教师管理办法》，成立学生社团建设管理评议委员会和学生社团管理中心，完成年审和星级社团评定，优化管理细则20余个表格文件。</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sz w:val="32"/>
          <w:szCs w:val="32"/>
          <w:lang w:val="en-US" w:eastAsia="zh-CN"/>
        </w:rPr>
      </w:pPr>
      <w:r>
        <w:rPr>
          <w:rFonts w:hint="eastAsia" w:ascii="Times New Roman" w:hAnsi="Times New Roman" w:eastAsia="仿宋" w:cs="Times New Roman"/>
          <w:sz w:val="32"/>
          <w:szCs w:val="32"/>
        </w:rPr>
        <w:t>社团精品活动主要有“爱心小屋旧物回收循环利用公益服务行动项目”(“一分钱”基金会</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、云彩活动</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青年志愿</w:t>
      </w:r>
      <w:r>
        <w:rPr>
          <w:rFonts w:hint="eastAsia" w:ascii="仿宋" w:hAnsi="仿宋" w:eastAsia="仿宋" w:cs="仿宋"/>
          <w:sz w:val="32"/>
          <w:szCs w:val="32"/>
        </w:rPr>
        <w:t>者协会</w:t>
      </w:r>
      <w:r>
        <w:rPr>
          <w:rFonts w:hint="eastAsia" w:ascii="仿宋" w:hAnsi="仿宋" w:eastAsia="仿宋" w:cs="仿宋"/>
          <w:sz w:val="32"/>
          <w:szCs w:val="32"/>
          <w:lang w:eastAsia="zh-CN"/>
        </w:rPr>
        <w:t>）</w:t>
      </w:r>
      <w:r>
        <w:rPr>
          <w:rFonts w:hint="eastAsia" w:ascii="仿宋" w:hAnsi="仿宋" w:eastAsia="仿宋" w:cs="仿宋"/>
          <w:sz w:val="32"/>
          <w:szCs w:val="32"/>
        </w:rPr>
        <w:t>、全国大学生数学建模竞赛</w:t>
      </w:r>
      <w:r>
        <w:rPr>
          <w:rFonts w:hint="eastAsia" w:ascii="仿宋" w:hAnsi="仿宋" w:eastAsia="仿宋" w:cs="仿宋"/>
          <w:sz w:val="32"/>
          <w:szCs w:val="32"/>
          <w:lang w:eastAsia="zh-CN"/>
        </w:rPr>
        <w:t>（</w:t>
      </w:r>
      <w:r>
        <w:rPr>
          <w:rFonts w:hint="eastAsia" w:ascii="仿宋" w:hAnsi="仿宋" w:eastAsia="仿宋" w:cs="仿宋"/>
          <w:sz w:val="32"/>
          <w:szCs w:val="32"/>
        </w:rPr>
        <w:t>数学建模协会</w:t>
      </w:r>
      <w:r>
        <w:rPr>
          <w:rFonts w:hint="eastAsia" w:ascii="仿宋" w:hAnsi="仿宋" w:eastAsia="仿宋" w:cs="仿宋"/>
          <w:sz w:val="32"/>
          <w:szCs w:val="32"/>
          <w:lang w:eastAsia="zh-CN"/>
        </w:rPr>
        <w:t>）</w:t>
      </w:r>
      <w:r>
        <w:rPr>
          <w:rFonts w:hint="eastAsia" w:ascii="仿宋" w:hAnsi="仿宋" w:eastAsia="仿宋" w:cs="仿宋"/>
          <w:sz w:val="32"/>
          <w:szCs w:val="32"/>
        </w:rPr>
        <w:t>等系列丰富多彩的活动。在校外积</w:t>
      </w:r>
      <w:r>
        <w:rPr>
          <w:rFonts w:hint="eastAsia" w:ascii="仿宋" w:hAnsi="仿宋" w:eastAsia="仿宋" w:cs="仿宋"/>
          <w:sz w:val="32"/>
          <w:szCs w:val="32"/>
          <w:lang w:val="en-US" w:eastAsia="zh-CN"/>
        </w:rPr>
        <w:t>极参加比赛，荣获“2020年广西狮王总决赛”季军1项，“广西校园舞龙舞狮争霸赛”大学组南师第一名1项，“第二届广西大学生舞龙舞狮锦标赛”第三名1项（龙狮协会）、2020赛季华语辩论世界杯南宁赛区四强（演讲与口才协会）。</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sz w:val="32"/>
          <w:szCs w:val="32"/>
          <w:lang w:val="en-US" w:eastAsia="zh-CN"/>
        </w:rPr>
      </w:pPr>
      <w:bookmarkStart w:id="49" w:name="_Toc8613"/>
      <w:r>
        <w:rPr>
          <w:rFonts w:hint="eastAsia" w:ascii="仿宋" w:hAnsi="仿宋" w:eastAsia="仿宋" w:cs="仿宋"/>
          <w:b/>
          <w:bCs/>
          <w:sz w:val="32"/>
          <w:szCs w:val="32"/>
          <w:lang w:val="en-US" w:eastAsia="zh-CN"/>
        </w:rPr>
        <w:t>3.学生服务</w:t>
      </w:r>
      <w:bookmarkEnd w:id="49"/>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注重工作细</w:t>
      </w:r>
      <w:r>
        <w:rPr>
          <w:rFonts w:hint="eastAsia" w:ascii="仿宋" w:hAnsi="仿宋" w:eastAsia="仿宋" w:cs="仿宋"/>
          <w:sz w:val="32"/>
          <w:szCs w:val="32"/>
        </w:rPr>
        <w:t>节、强化贴心服务，从点滴服务学生。获批首批全区高校“一站式”学生社区综合管理模式建设试点高校。重新修订《广西建设职业技术学院学生档案管理办法（试行）》；拓展“一站式”服务范围，新增服务业务3项</w:t>
      </w:r>
      <w:r>
        <w:rPr>
          <w:rFonts w:hint="eastAsia" w:ascii="仿宋" w:hAnsi="仿宋" w:eastAsia="仿宋" w:cs="仿宋"/>
          <w:sz w:val="32"/>
          <w:szCs w:val="32"/>
          <w:lang w:eastAsia="zh-CN"/>
        </w:rPr>
        <w:t>，</w:t>
      </w:r>
      <w:r>
        <w:rPr>
          <w:rFonts w:hint="eastAsia" w:ascii="仿宋" w:hAnsi="仿宋" w:eastAsia="仿宋" w:cs="仿宋"/>
          <w:sz w:val="32"/>
          <w:szCs w:val="32"/>
        </w:rPr>
        <w:t>安排值班，保障暑假期间业务正常开展；本年度共办理业务28948人次，办结率100%</w:t>
      </w:r>
      <w:r>
        <w:rPr>
          <w:rFonts w:hint="eastAsia" w:ascii="仿宋" w:hAnsi="仿宋" w:eastAsia="仿宋" w:cs="仿宋"/>
          <w:sz w:val="32"/>
          <w:szCs w:val="32"/>
          <w:lang w:eastAsia="zh-CN"/>
        </w:rPr>
        <w:t>，</w:t>
      </w:r>
      <w:r>
        <w:rPr>
          <w:rFonts w:hint="eastAsia" w:ascii="仿宋" w:hAnsi="仿宋" w:eastAsia="仿宋" w:cs="仿宋"/>
          <w:sz w:val="32"/>
          <w:szCs w:val="32"/>
        </w:rPr>
        <w:t>完成毕业生档案归档派遣5000余份，服务满意度高；加强互动，收到学生意见回复率100%。组织“阳光e站”学生每月开展一次校园美化义务活动；指导学生获第七届互联网+创新创业比赛校级铜奖和优秀奖。完成学生网上服务项目建设，设立校园议事厅并开展学生民主座谈等活动，提升学生民主管理水平。发挥中心优势开展党史学习教育系列活动，共有2598人参加。以实际行动推进我为群众办实事，不断提升服务育人质量。</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sz w:val="32"/>
          <w:szCs w:val="32"/>
          <w:lang w:val="en-US" w:eastAsia="zh-CN"/>
        </w:rPr>
      </w:pPr>
      <w:bookmarkStart w:id="50" w:name="_Toc23957"/>
      <w:r>
        <w:rPr>
          <w:rFonts w:hint="eastAsia" w:ascii="仿宋" w:hAnsi="仿宋" w:eastAsia="仿宋" w:cs="仿宋"/>
          <w:b/>
          <w:bCs/>
          <w:sz w:val="32"/>
          <w:szCs w:val="32"/>
          <w:lang w:val="en-US" w:eastAsia="zh-CN"/>
        </w:rPr>
        <w:t>4.心理健康工作</w:t>
      </w:r>
      <w:bookmarkEnd w:id="50"/>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sz w:val="32"/>
          <w:szCs w:val="32"/>
          <w:lang w:val="en-US" w:eastAsia="zh-CN"/>
        </w:rPr>
      </w:pPr>
      <w:bookmarkStart w:id="51" w:name="_Toc29422"/>
      <w:r>
        <w:rPr>
          <w:rFonts w:hint="eastAsia" w:ascii="仿宋" w:hAnsi="仿宋" w:eastAsia="仿宋" w:cs="仿宋"/>
          <w:sz w:val="32"/>
          <w:szCs w:val="32"/>
          <w:lang w:val="en-US" w:eastAsia="zh-CN"/>
        </w:rPr>
        <w:t>健全“四位一体”的工作格局，提升心理育人实效。朋辈互助精品化：继</w:t>
      </w:r>
      <w:r>
        <w:rPr>
          <w:rFonts w:hint="eastAsia" w:ascii="仿宋" w:hAnsi="仿宋" w:eastAsia="仿宋" w:cs="仿宋"/>
          <w:b w:val="0"/>
          <w:bCs w:val="0"/>
          <w:snapToGrid/>
          <w:kern w:val="2"/>
          <w:sz w:val="32"/>
          <w:szCs w:val="32"/>
          <w:lang w:val="en-US" w:eastAsia="zh-CN" w:bidi="ar-SA"/>
        </w:rPr>
        <w:t>续建设全区高校思政精品项目，注重朋辈队伍建设——由心理中心指导的朋辈心理互助员四叶草团队，获评2020全国高校百强学生社团，为广西入选的唯一学生社团。实践活动广泛化：通过项目牵引、活动宣传、媒介传导、朋辈带动，举办心理健康教育宣传品牌活动5项，参与师生近3000人次。实践成果参加2021年广西高校心理健康教育宣传活动月系列活动评选，获得一等奖2项，三等奖4项。咨询服务专业化：增加晚间和周末咨询时段，满足学生心理咨询需求；邀请医院心理专家入校开展心理服务、指导不少于每周3小时，邀请国家知名专家开展咨询案例督导不少于每月一次，保证专兼职队伍工作规范、专业化。危机预防协同化：利用基于应激－素质模型的心理健康教育大数据平台，完成2021级新生心理普查率达到100%，开展19轮班级心理排查，同时全面实现学生咨询预约、日常班级心理排查网络信息化；实现与南宁市社会福利医院的医校合作，</w:t>
      </w:r>
      <w:r>
        <w:rPr>
          <w:rFonts w:hint="eastAsia" w:ascii="仿宋" w:hAnsi="仿宋" w:eastAsia="仿宋" w:cs="仿宋"/>
          <w:sz w:val="32"/>
          <w:szCs w:val="32"/>
          <w:lang w:val="en-US" w:eastAsia="zh-CN"/>
        </w:rPr>
        <w:t>畅通心理疾病学生就医绿色通道。</w:t>
      </w:r>
      <w:bookmarkEnd w:id="51"/>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sz w:val="32"/>
          <w:szCs w:val="32"/>
          <w:lang w:val="en-US" w:eastAsia="zh-CN"/>
        </w:rPr>
      </w:pPr>
      <w:bookmarkStart w:id="52" w:name="_Toc12508"/>
      <w:r>
        <w:rPr>
          <w:rFonts w:hint="eastAsia" w:ascii="仿宋" w:hAnsi="仿宋" w:eastAsia="仿宋" w:cs="仿宋"/>
          <w:b/>
          <w:bCs/>
          <w:sz w:val="32"/>
          <w:szCs w:val="32"/>
          <w:lang w:val="en-US" w:eastAsia="zh-CN"/>
        </w:rPr>
        <w:t>5.学生资助</w:t>
      </w:r>
      <w:bookmarkEnd w:id="52"/>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精准实施国家</w:t>
      </w:r>
      <w:r>
        <w:rPr>
          <w:rFonts w:hint="eastAsia" w:ascii="仿宋" w:hAnsi="仿宋" w:eastAsia="仿宋" w:cs="仿宋"/>
          <w:b w:val="0"/>
          <w:bCs w:val="0"/>
          <w:snapToGrid/>
          <w:kern w:val="2"/>
          <w:sz w:val="32"/>
          <w:szCs w:val="32"/>
          <w:lang w:val="en-US" w:eastAsia="zh-CN" w:bidi="ar-SA"/>
        </w:rPr>
        <w:t>学生资助工作政策，强化资助育人阵地建设。不断创新工作思路，规范工作机制，健全学生资助制度，规范学生资助管理，建立动态数据库，实现资助精准化，全年共审核、发放奖助学金2432.96万元，受益学生12280人次；为46856人次发放国家教育资助、突发困难、勤工助学等校级资助1302.965696万元。修订学校学生勤工助学管理办法，创设凸显专业技能的勤工助学岗位，深入发掘助学育人功能；深化校企合作，让企业对勤工助学岗位学生实施职业化培训、管理，提高助学育人的附加值。加强资助政策宣教工作，深入开展“资助政策宣传月”“诚信教育宣传月”活动。我校徐静老师当选全区“最美资助人”，学生姚证尹获全区“自强之星”称号，视频《“助”推梦想，“诚”以</w:t>
      </w:r>
      <w:r>
        <w:rPr>
          <w:rFonts w:hint="eastAsia" w:ascii="仿宋" w:hAnsi="仿宋" w:eastAsia="仿宋" w:cs="仿宋"/>
          <w:sz w:val="32"/>
          <w:szCs w:val="32"/>
          <w:lang w:val="en-US" w:eastAsia="zh-CN"/>
        </w:rPr>
        <w:t>报之》获第九届全国高校数字艺术大赛省赛教师组三等奖。</w:t>
      </w:r>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53" w:name="_Toc12501"/>
      <w:r>
        <w:rPr>
          <w:rFonts w:hint="default" w:ascii="Times New Roman" w:hAnsi="Times New Roman" w:eastAsia="楷体" w:cs="Times New Roman"/>
          <w:b/>
          <w:bCs/>
          <w:color w:val="auto"/>
          <w:sz w:val="32"/>
          <w:szCs w:val="32"/>
          <w:highlight w:val="none"/>
          <w:lang w:val="en-US" w:eastAsia="zh-CN"/>
        </w:rPr>
        <w:t>（四）职业发展</w:t>
      </w:r>
      <w:bookmarkEnd w:id="53"/>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auto"/>
          <w:sz w:val="32"/>
          <w:szCs w:val="32"/>
          <w:highlight w:val="none"/>
          <w:lang w:val="en-US" w:eastAsia="zh-CN"/>
        </w:rPr>
      </w:pPr>
      <w:bookmarkStart w:id="54" w:name="_Toc10379"/>
      <w:r>
        <w:rPr>
          <w:rFonts w:hint="eastAsia" w:ascii="仿宋" w:hAnsi="仿宋" w:eastAsia="仿宋" w:cs="仿宋"/>
          <w:b/>
          <w:bCs/>
          <w:color w:val="auto"/>
          <w:sz w:val="32"/>
          <w:szCs w:val="32"/>
          <w:highlight w:val="none"/>
          <w:lang w:val="en-US" w:eastAsia="zh-CN"/>
        </w:rPr>
        <w:t>1.创新创业教育</w:t>
      </w:r>
      <w:bookmarkEnd w:id="54"/>
    </w:p>
    <w:p>
      <w:pPr>
        <w:pageBreakBefore w:val="0"/>
        <w:kinsoku/>
        <w:wordWrap/>
        <w:overflowPunct/>
        <w:topLinePunct w:val="0"/>
        <w:bidi w:val="0"/>
        <w:spacing w:line="560" w:lineRule="exact"/>
        <w:ind w:left="0" w:leftChars="0" w:right="0" w:rightChars="0" w:firstLine="321" w:firstLineChars="1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
          <w:bCs/>
          <w:color w:val="auto"/>
          <w:sz w:val="32"/>
          <w:szCs w:val="32"/>
          <w:highlight w:val="none"/>
          <w:lang w:val="en-US" w:eastAsia="zh-CN"/>
        </w:rPr>
        <w:t>（1）提高站位，明确责任，齐抓共管有保障。</w:t>
      </w:r>
      <w:r>
        <w:rPr>
          <w:rFonts w:hint="eastAsia" w:ascii="仿宋" w:hAnsi="仿宋" w:eastAsia="仿宋" w:cs="仿宋"/>
          <w:color w:val="auto"/>
          <w:sz w:val="32"/>
          <w:szCs w:val="32"/>
          <w:highlight w:val="none"/>
          <w:lang w:val="en-US" w:eastAsia="zh-CN"/>
        </w:rPr>
        <w:t>创新创业教育工</w:t>
      </w:r>
      <w:r>
        <w:rPr>
          <w:rFonts w:hint="eastAsia" w:ascii="仿宋" w:hAnsi="仿宋" w:eastAsia="仿宋" w:cs="仿宋"/>
          <w:bCs/>
          <w:snapToGrid w:val="0"/>
          <w:color w:val="000000" w:themeColor="text1"/>
          <w:sz w:val="32"/>
          <w:szCs w:val="32"/>
          <w:lang w:eastAsia="zh-CN"/>
          <w14:textFill>
            <w14:solidFill>
              <w14:schemeClr w14:val="tx1"/>
            </w14:solidFill>
          </w14:textFill>
        </w:rPr>
        <w:t>作是人才培养的重要组成部分。为国家和社会培育有创新思维、创新意识和创新想法的有为青年，是学校人才培养最好的检验。“互联网+”大赛是服务国家战略、深化教育教学改革、激发大学生创造力的重要抓手，被</w:t>
      </w:r>
      <w:r>
        <w:rPr>
          <w:rFonts w:hint="eastAsia" w:ascii="仿宋" w:hAnsi="仿宋" w:eastAsia="仿宋" w:cs="仿宋"/>
          <w:bCs/>
          <w:color w:val="000000" w:themeColor="text1"/>
          <w:sz w:val="32"/>
          <w:szCs w:val="32"/>
          <w14:textFill>
            <w14:solidFill>
              <w14:schemeClr w14:val="tx1"/>
            </w14:solidFill>
          </w14:textFill>
        </w:rPr>
        <w:t>列为学校20</w:t>
      </w:r>
      <w:r>
        <w:rPr>
          <w:rFonts w:hint="eastAsia" w:ascii="仿宋" w:hAnsi="仿宋" w:eastAsia="仿宋" w:cs="仿宋"/>
          <w:bCs/>
          <w:color w:val="000000" w:themeColor="text1"/>
          <w:sz w:val="32"/>
          <w:szCs w:val="32"/>
          <w:lang w:val="en-US" w:eastAsia="zh-CN"/>
          <w14:textFill>
            <w14:solidFill>
              <w14:schemeClr w14:val="tx1"/>
            </w14:solidFill>
          </w14:textFill>
        </w:rPr>
        <w:t>21</w:t>
      </w:r>
      <w:r>
        <w:rPr>
          <w:rFonts w:hint="eastAsia" w:ascii="仿宋" w:hAnsi="仿宋" w:eastAsia="仿宋" w:cs="仿宋"/>
          <w:bCs/>
          <w:color w:val="000000" w:themeColor="text1"/>
          <w:sz w:val="32"/>
          <w:szCs w:val="32"/>
          <w14:textFill>
            <w14:solidFill>
              <w14:schemeClr w14:val="tx1"/>
            </w14:solidFill>
          </w14:textFill>
        </w:rPr>
        <w:t>年重点工作之一。</w:t>
      </w:r>
      <w:r>
        <w:rPr>
          <w:rFonts w:hint="eastAsia" w:ascii="仿宋" w:hAnsi="仿宋" w:eastAsia="仿宋" w:cs="仿宋"/>
          <w:bCs/>
          <w:color w:val="000000" w:themeColor="text1"/>
          <w:sz w:val="32"/>
          <w:szCs w:val="32"/>
          <w:lang w:eastAsia="zh-CN"/>
          <w14:textFill>
            <w14:solidFill>
              <w14:schemeClr w14:val="tx1"/>
            </w14:solidFill>
          </w14:textFill>
        </w:rPr>
        <w:t>学校</w:t>
      </w:r>
      <w:r>
        <w:rPr>
          <w:rFonts w:hint="eastAsia" w:ascii="仿宋" w:hAnsi="仿宋" w:eastAsia="仿宋" w:cs="仿宋"/>
          <w:bCs/>
          <w:color w:val="000000" w:themeColor="text1"/>
          <w:sz w:val="32"/>
          <w:szCs w:val="32"/>
          <w14:textFill>
            <w14:solidFill>
              <w14:schemeClr w14:val="tx1"/>
            </w14:solidFill>
          </w14:textFill>
        </w:rPr>
        <w:t>成立由</w:t>
      </w:r>
      <w:r>
        <w:rPr>
          <w:rFonts w:hint="eastAsia" w:ascii="仿宋" w:hAnsi="仿宋" w:eastAsia="仿宋" w:cs="仿宋"/>
          <w:bCs/>
          <w:color w:val="000000" w:themeColor="text1"/>
          <w:sz w:val="32"/>
          <w:szCs w:val="32"/>
          <w:lang w:eastAsia="zh-CN"/>
          <w14:textFill>
            <w14:solidFill>
              <w14:schemeClr w14:val="tx1"/>
            </w14:solidFill>
          </w14:textFill>
        </w:rPr>
        <w:t>吴昆校长</w:t>
      </w:r>
      <w:r>
        <w:rPr>
          <w:rFonts w:hint="eastAsia" w:ascii="仿宋" w:hAnsi="仿宋" w:eastAsia="仿宋" w:cs="仿宋"/>
          <w:bCs/>
          <w:color w:val="000000" w:themeColor="text1"/>
          <w:sz w:val="32"/>
          <w:szCs w:val="32"/>
          <w14:textFill>
            <w14:solidFill>
              <w14:schemeClr w14:val="tx1"/>
            </w14:solidFill>
          </w14:textFill>
        </w:rPr>
        <w:t>担任主任，曾繁雄副书记、</w:t>
      </w:r>
      <w:r>
        <w:rPr>
          <w:rFonts w:hint="eastAsia" w:ascii="仿宋" w:hAnsi="仿宋" w:eastAsia="仿宋" w:cs="仿宋"/>
          <w:bCs/>
          <w:color w:val="000000" w:themeColor="text1"/>
          <w:sz w:val="32"/>
          <w:szCs w:val="32"/>
          <w:lang w:val="en-US" w:eastAsia="zh-CN"/>
          <w14:textFill>
            <w14:solidFill>
              <w14:schemeClr w14:val="tx1"/>
            </w14:solidFill>
          </w14:textFill>
        </w:rPr>
        <w:t>谢东</w:t>
      </w:r>
      <w:r>
        <w:rPr>
          <w:rFonts w:hint="eastAsia" w:ascii="仿宋" w:hAnsi="仿宋" w:eastAsia="仿宋" w:cs="仿宋"/>
          <w:bCs/>
          <w:color w:val="000000" w:themeColor="text1"/>
          <w:sz w:val="32"/>
          <w:szCs w:val="32"/>
          <w14:textFill>
            <w14:solidFill>
              <w14:schemeClr w14:val="tx1"/>
            </w14:solidFill>
          </w14:textFill>
        </w:rPr>
        <w:t>副</w:t>
      </w:r>
      <w:r>
        <w:rPr>
          <w:rFonts w:hint="eastAsia" w:ascii="仿宋" w:hAnsi="仿宋" w:eastAsia="仿宋" w:cs="仿宋"/>
          <w:bCs/>
          <w:color w:val="000000" w:themeColor="text1"/>
          <w:sz w:val="32"/>
          <w:szCs w:val="32"/>
          <w:lang w:eastAsia="zh-CN"/>
          <w14:textFill>
            <w14:solidFill>
              <w14:schemeClr w14:val="tx1"/>
            </w14:solidFill>
          </w14:textFill>
        </w:rPr>
        <w:t>校长、</w:t>
      </w:r>
      <w:r>
        <w:rPr>
          <w:rFonts w:hint="eastAsia" w:ascii="仿宋" w:hAnsi="仿宋" w:eastAsia="仿宋" w:cs="仿宋"/>
          <w:bCs/>
          <w:color w:val="000000" w:themeColor="text1"/>
          <w:sz w:val="32"/>
          <w:szCs w:val="32"/>
          <w:lang w:val="en-US" w:eastAsia="zh-CN"/>
          <w14:textFill>
            <w14:solidFill>
              <w14:schemeClr w14:val="tx1"/>
            </w14:solidFill>
          </w14:textFill>
        </w:rPr>
        <w:t>梁伟</w:t>
      </w:r>
      <w:r>
        <w:rPr>
          <w:rFonts w:hint="eastAsia" w:ascii="仿宋" w:hAnsi="仿宋" w:eastAsia="仿宋" w:cs="仿宋"/>
          <w:bCs/>
          <w:color w:val="000000" w:themeColor="text1"/>
          <w:sz w:val="32"/>
          <w:szCs w:val="32"/>
          <w14:textFill>
            <w14:solidFill>
              <w14:schemeClr w14:val="tx1"/>
            </w14:solidFill>
          </w14:textFill>
        </w:rPr>
        <w:t>副</w:t>
      </w:r>
      <w:r>
        <w:rPr>
          <w:rFonts w:hint="eastAsia" w:ascii="仿宋" w:hAnsi="仿宋" w:eastAsia="仿宋" w:cs="仿宋"/>
          <w:bCs/>
          <w:color w:val="000000" w:themeColor="text1"/>
          <w:sz w:val="32"/>
          <w:szCs w:val="32"/>
          <w:lang w:eastAsia="zh-CN"/>
          <w14:textFill>
            <w14:solidFill>
              <w14:schemeClr w14:val="tx1"/>
            </w14:solidFill>
          </w14:textFill>
        </w:rPr>
        <w:t>校长、</w:t>
      </w:r>
      <w:r>
        <w:rPr>
          <w:rFonts w:hint="eastAsia" w:ascii="仿宋" w:hAnsi="仿宋" w:eastAsia="仿宋" w:cs="仿宋"/>
          <w:bCs/>
          <w:color w:val="000000" w:themeColor="text1"/>
          <w:sz w:val="32"/>
          <w:szCs w:val="32"/>
          <w:lang w:val="en-US" w:eastAsia="zh-CN"/>
          <w14:textFill>
            <w14:solidFill>
              <w14:schemeClr w14:val="tx1"/>
            </w14:solidFill>
          </w14:textFill>
        </w:rPr>
        <w:t>伍耿清</w:t>
      </w:r>
      <w:r>
        <w:rPr>
          <w:rFonts w:hint="eastAsia" w:ascii="仿宋" w:hAnsi="仿宋" w:eastAsia="仿宋" w:cs="仿宋"/>
          <w:bCs/>
          <w:color w:val="000000" w:themeColor="text1"/>
          <w:sz w:val="32"/>
          <w:szCs w:val="32"/>
          <w14:textFill>
            <w14:solidFill>
              <w14:schemeClr w14:val="tx1"/>
            </w14:solidFill>
          </w14:textFill>
        </w:rPr>
        <w:t>副</w:t>
      </w:r>
      <w:r>
        <w:rPr>
          <w:rFonts w:hint="eastAsia" w:ascii="仿宋" w:hAnsi="仿宋" w:eastAsia="仿宋" w:cs="仿宋"/>
          <w:bCs/>
          <w:color w:val="000000" w:themeColor="text1"/>
          <w:sz w:val="32"/>
          <w:szCs w:val="32"/>
          <w:lang w:eastAsia="zh-CN"/>
          <w14:textFill>
            <w14:solidFill>
              <w14:schemeClr w14:val="tx1"/>
            </w14:solidFill>
          </w14:textFill>
        </w:rPr>
        <w:t>校长</w:t>
      </w:r>
      <w:r>
        <w:rPr>
          <w:rFonts w:hint="eastAsia" w:ascii="仿宋" w:hAnsi="仿宋" w:eastAsia="仿宋" w:cs="仿宋"/>
          <w:bCs/>
          <w:color w:val="000000" w:themeColor="text1"/>
          <w:sz w:val="32"/>
          <w:szCs w:val="32"/>
          <w14:textFill>
            <w14:solidFill>
              <w14:schemeClr w14:val="tx1"/>
            </w14:solidFill>
          </w14:textFill>
        </w:rPr>
        <w:t>担任副主任，各相关单位负责人为成员的大赛组委会，统筹和协调大赛工作</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细致明确各部门具体职责</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安排专人负责大赛工作，形成齐抓共管的工作局面。</w:t>
      </w:r>
    </w:p>
    <w:p>
      <w:pPr>
        <w:pStyle w:val="1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321" w:firstLineChars="1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精心组织，提量保质，</w:t>
      </w:r>
      <w:r>
        <w:rPr>
          <w:rFonts w:hint="eastAsia" w:ascii="仿宋" w:hAnsi="仿宋" w:eastAsia="仿宋" w:cs="仿宋"/>
          <w:b/>
          <w:bCs/>
          <w:color w:val="000000" w:themeColor="text1"/>
          <w:sz w:val="32"/>
          <w:szCs w:val="32"/>
          <w:lang w:eastAsia="zh-CN"/>
          <w14:textFill>
            <w14:solidFill>
              <w14:schemeClr w14:val="tx1"/>
            </w14:solidFill>
          </w14:textFill>
        </w:rPr>
        <w:t>创新创业赛事喜获标志性成果。</w:t>
      </w:r>
      <w:r>
        <w:rPr>
          <w:rFonts w:hint="eastAsia" w:ascii="仿宋" w:hAnsi="仿宋" w:eastAsia="仿宋" w:cs="仿宋"/>
          <w:color w:val="000000" w:themeColor="text1"/>
          <w:kern w:val="2"/>
          <w:sz w:val="32"/>
          <w:szCs w:val="32"/>
          <w:lang w:val="en-US" w:eastAsia="zh-CN" w:bidi="ar-SA"/>
          <w14:textFill>
            <w14:solidFill>
              <w14:schemeClr w14:val="tx1"/>
            </w14:solidFill>
          </w14:textFill>
        </w:rPr>
        <w:t>一是指导保障到位。我校采用“校外专家+校内导师”的“双师制”项目辅导模式，整合多方资源，先后组织师资培训92人次、线上线下项目辅导48次，持续打磨和优化项目，提升了项目竞争力和师生团队参赛能力，既为大赛取得优异成绩打下坚实基础，也培养了学生敢闯会创的素质能力，更在校园营造了浓厚的创新创业氛围。</w:t>
      </w: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是制度保障到位。印发《广西建设职业技术学院20</w:t>
      </w:r>
      <w:r>
        <w:rPr>
          <w:rFonts w:hint="eastAsia" w:ascii="仿宋" w:hAnsi="仿宋" w:eastAsia="仿宋" w:cs="仿宋"/>
          <w:bCs/>
          <w:color w:val="000000" w:themeColor="text1"/>
          <w:sz w:val="32"/>
          <w:szCs w:val="32"/>
          <w:lang w:val="en-US" w:eastAsia="zh-CN"/>
          <w14:textFill>
            <w14:solidFill>
              <w14:schemeClr w14:val="tx1"/>
            </w14:solidFill>
          </w14:textFill>
        </w:rPr>
        <w:t>21</w:t>
      </w:r>
      <w:r>
        <w:rPr>
          <w:rFonts w:hint="eastAsia" w:ascii="仿宋" w:hAnsi="仿宋" w:eastAsia="仿宋" w:cs="仿宋"/>
          <w:bCs/>
          <w:color w:val="000000" w:themeColor="text1"/>
          <w:sz w:val="32"/>
          <w:szCs w:val="32"/>
          <w14:textFill>
            <w14:solidFill>
              <w14:schemeClr w14:val="tx1"/>
            </w14:solidFill>
          </w14:textFill>
        </w:rPr>
        <w:t>年“互联网+”大学生创新创业大赛工作方案》，对获得校级、自治区级、国家级奖项的学生团队</w:t>
      </w:r>
      <w:r>
        <w:rPr>
          <w:rFonts w:hint="eastAsia" w:ascii="仿宋" w:hAnsi="仿宋" w:eastAsia="仿宋" w:cs="仿宋"/>
          <w:bCs/>
          <w:color w:val="000000" w:themeColor="text1"/>
          <w:sz w:val="32"/>
          <w:szCs w:val="32"/>
          <w:lang w:eastAsia="zh-CN"/>
          <w14:textFill>
            <w14:solidFill>
              <w14:schemeClr w14:val="tx1"/>
            </w14:solidFill>
          </w14:textFill>
        </w:rPr>
        <w:t>、指导教师</w:t>
      </w:r>
      <w:r>
        <w:rPr>
          <w:rFonts w:hint="eastAsia" w:ascii="仿宋" w:hAnsi="仿宋" w:eastAsia="仿宋" w:cs="仿宋"/>
          <w:bCs/>
          <w:color w:val="000000" w:themeColor="text1"/>
          <w:sz w:val="32"/>
          <w:szCs w:val="32"/>
          <w14:textFill>
            <w14:solidFill>
              <w14:schemeClr w14:val="tx1"/>
            </w14:solidFill>
          </w14:textFill>
        </w:rPr>
        <w:t>的奖励标准</w:t>
      </w:r>
      <w:r>
        <w:rPr>
          <w:rFonts w:hint="eastAsia" w:ascii="仿宋" w:hAnsi="仿宋" w:eastAsia="仿宋" w:cs="仿宋"/>
          <w:bCs/>
          <w:color w:val="000000" w:themeColor="text1"/>
          <w:sz w:val="32"/>
          <w:szCs w:val="32"/>
          <w:lang w:eastAsia="zh-CN"/>
          <w14:textFill>
            <w14:solidFill>
              <w14:schemeClr w14:val="tx1"/>
            </w14:solidFill>
          </w14:textFill>
        </w:rPr>
        <w:t>进行明确规定</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eastAsia="zh-CN"/>
          <w14:textFill>
            <w14:solidFill>
              <w14:schemeClr w14:val="tx1"/>
            </w14:solidFill>
          </w14:textFill>
        </w:rPr>
        <w:t>并对取得区赛银奖以上成绩的教师和学生团队在教师职称评审、学生专升本等方面作出鼓励政策安排，</w:t>
      </w:r>
      <w:r>
        <w:rPr>
          <w:rFonts w:hint="eastAsia" w:ascii="仿宋" w:hAnsi="仿宋" w:eastAsia="仿宋" w:cs="仿宋"/>
          <w:bCs/>
          <w:color w:val="000000" w:themeColor="text1"/>
          <w:sz w:val="32"/>
          <w:szCs w:val="32"/>
          <w14:textFill>
            <w14:solidFill>
              <w14:schemeClr w14:val="tx1"/>
            </w14:solidFill>
          </w14:textFill>
        </w:rPr>
        <w:t>极大地调动了师生参赛的积极性。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在学校领导的大力支持下，在相关职能部门、各系的通力配合下，我校共有9066名学生、2194个项目（比2020年增加1691个项目）报名参加第七届中国国际“互联网+”大学生创新创业大赛广西赛区选拔赛</w:t>
      </w:r>
      <w:r>
        <w:rPr>
          <w:rFonts w:hint="eastAsia" w:ascii="仿宋" w:hAnsi="仿宋" w:eastAsia="仿宋" w:cs="仿宋"/>
          <w:bCs/>
          <w:color w:val="000000" w:themeColor="text1"/>
          <w:sz w:val="32"/>
          <w:szCs w:val="32"/>
          <w:lang w:eastAsia="zh-CN"/>
          <w14:textFill>
            <w14:solidFill>
              <w14:schemeClr w14:val="tx1"/>
            </w14:solidFill>
          </w14:textFill>
        </w:rPr>
        <w:t>，收获</w:t>
      </w:r>
      <w:r>
        <w:rPr>
          <w:rFonts w:hint="eastAsia" w:ascii="仿宋" w:hAnsi="仿宋" w:eastAsia="仿宋" w:cs="仿宋"/>
          <w:bCs/>
          <w:color w:val="000000" w:themeColor="text1"/>
          <w:sz w:val="32"/>
          <w:szCs w:val="32"/>
          <w:lang w:val="en-US" w:eastAsia="zh-CN"/>
          <w14:textFill>
            <w14:solidFill>
              <w14:schemeClr w14:val="tx1"/>
            </w14:solidFill>
          </w14:textFill>
        </w:rPr>
        <w:t>1个国赛金奖，</w:t>
      </w:r>
      <w:r>
        <w:rPr>
          <w:rFonts w:hint="eastAsia" w:ascii="仿宋" w:hAnsi="仿宋" w:eastAsia="仿宋" w:cs="仿宋"/>
          <w:bCs/>
          <w:color w:val="000000" w:themeColor="text1"/>
          <w:sz w:val="32"/>
          <w:szCs w:val="32"/>
          <w:lang w:eastAsia="zh-CN"/>
          <w14:textFill>
            <w14:solidFill>
              <w14:schemeClr w14:val="tx1"/>
            </w14:solidFill>
          </w14:textFill>
        </w:rPr>
        <w:t>3个区赛金奖、7个区赛银奖、30个区赛铜奖和1个“优秀组织奖”等荣誉，取得我校在该赛事中的历史性突破。</w:t>
      </w:r>
    </w:p>
    <w:p>
      <w:pPr>
        <w:pStyle w:val="18"/>
        <w:pageBreakBefore w:val="0"/>
        <w:kinsoku/>
        <w:wordWrap/>
        <w:overflowPunct/>
        <w:topLinePunct w:val="0"/>
        <w:bidi w:val="0"/>
        <w:spacing w:beforeLines="0" w:afterLines="0" w:line="560" w:lineRule="exact"/>
        <w:ind w:left="0" w:leftChars="0" w:right="0" w:rightChars="0" w:firstLine="321" w:firstLineChars="100"/>
        <w:jc w:val="left"/>
        <w:textAlignment w:val="auto"/>
        <w:rPr>
          <w:rFonts w:hint="eastAsia" w:ascii="仿宋" w:hAnsi="仿宋" w:eastAsia="仿宋" w:cs="仿宋"/>
          <w:color w:val="auto"/>
          <w:sz w:val="32"/>
          <w:szCs w:val="32"/>
          <w:highlight w:val="none"/>
          <w:lang w:val="en-US" w:eastAsia="zh-CN"/>
        </w:rPr>
      </w:pPr>
      <w:r>
        <w:rPr>
          <w:rFonts w:hint="eastAsia" w:ascii="仿宋" w:hAnsi="仿宋" w:cs="仿宋"/>
          <w:b/>
          <w:bCs/>
          <w:color w:val="000000" w:themeColor="text1"/>
          <w:sz w:val="32"/>
          <w:szCs w:val="32"/>
          <w:highlight w:val="none"/>
          <w:lang w:eastAsia="zh-CN"/>
          <w14:textFill>
            <w14:solidFill>
              <w14:schemeClr w14:val="tx1"/>
            </w14:solidFill>
          </w14:textFill>
        </w:rPr>
        <w:t>（</w:t>
      </w:r>
      <w:r>
        <w:rPr>
          <w:rFonts w:hint="eastAsia" w:ascii="仿宋" w:hAnsi="仿宋" w:cs="仿宋"/>
          <w:b/>
          <w:bCs/>
          <w:color w:val="000000" w:themeColor="text1"/>
          <w:sz w:val="32"/>
          <w:szCs w:val="32"/>
          <w:highlight w:val="none"/>
          <w:lang w:val="en-US" w:eastAsia="zh-CN"/>
          <w14:textFill>
            <w14:solidFill>
              <w14:schemeClr w14:val="tx1"/>
            </w14:solidFill>
          </w14:textFill>
        </w:rPr>
        <w:t>3</w:t>
      </w:r>
      <w:r>
        <w:rPr>
          <w:rFonts w:hint="eastAsia" w:ascii="仿宋" w:hAnsi="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kern w:val="0"/>
          <w:sz w:val="32"/>
          <w:szCs w:val="32"/>
          <w:highlight w:val="none"/>
          <w14:textFill>
            <w14:solidFill>
              <w14:schemeClr w14:val="tx1"/>
            </w14:solidFill>
          </w14:textFill>
        </w:rPr>
        <w:t>稳中求进，发挥创新创业教育的育人功能</w:t>
      </w:r>
      <w:r>
        <w:rPr>
          <w:rFonts w:hint="eastAsia" w:ascii="仿宋" w:hAnsi="仿宋" w:cs="仿宋"/>
          <w:b/>
          <w:bCs/>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一是做好大学生创业孵化园的运营管理工作，指导和帮助园区完成营业执照办理、报税等工作</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二是做好孵化园第二期项目申报、评审、入驻等工作</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三是积极协调，推进创新创业孵化基地优化升级，在学校二食堂负一楼打造600</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多平方米</w:t>
      </w:r>
      <w:r>
        <w:rPr>
          <w:rFonts w:hint="eastAsia" w:ascii="仿宋" w:hAnsi="仿宋" w:eastAsia="仿宋" w:cs="仿宋"/>
          <w:color w:val="auto"/>
          <w:sz w:val="32"/>
          <w:szCs w:val="32"/>
          <w:highlight w:val="none"/>
          <w:lang w:val="en-US" w:eastAsia="zh-CN"/>
        </w:rPr>
        <w:t>的创新创业基地，完成27家创业团队入驻新基地工作。</w:t>
      </w:r>
    </w:p>
    <w:p>
      <w:pPr>
        <w:pageBreakBefore w:val="0"/>
        <w:kinsoku/>
        <w:wordWrap/>
        <w:overflowPunct/>
        <w:topLinePunct w:val="0"/>
        <w:bidi w:val="0"/>
        <w:spacing w:line="560" w:lineRule="exact"/>
        <w:ind w:left="0" w:leftChars="0" w:right="0" w:rightChars="0" w:firstLine="643" w:firstLineChars="200"/>
        <w:textAlignment w:val="auto"/>
        <w:rPr>
          <w:rFonts w:hint="eastAsia" w:ascii="仿宋" w:hAnsi="仿宋" w:eastAsia="仿宋" w:cs="仿宋"/>
          <w:color w:val="auto"/>
          <w:sz w:val="32"/>
          <w:szCs w:val="32"/>
          <w:highlight w:val="none"/>
          <w:lang w:val="en-US" w:eastAsia="zh-CN"/>
        </w:rPr>
      </w:pPr>
      <w:bookmarkStart w:id="55" w:name="_Toc11186"/>
      <w:r>
        <w:rPr>
          <w:rFonts w:hint="eastAsia" w:ascii="仿宋" w:hAnsi="仿宋" w:eastAsia="仿宋" w:cs="仿宋"/>
          <w:b/>
          <w:bCs/>
          <w:color w:val="auto"/>
          <w:sz w:val="32"/>
          <w:szCs w:val="32"/>
          <w:highlight w:val="none"/>
          <w:lang w:val="en-US" w:eastAsia="zh-CN"/>
        </w:rPr>
        <w:t>2.职业精神培养</w:t>
      </w:r>
    </w:p>
    <w:bookmarkEnd w:id="55"/>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auto"/>
          <w:sz w:val="32"/>
          <w:szCs w:val="32"/>
          <w:highlight w:val="none"/>
          <w:lang w:val="en-US" w:eastAsia="zh-CN"/>
        </w:rPr>
        <w:t>2021年，我</w:t>
      </w: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校有序推进精益化生涯教育与就业指导课程体系建设，多举措共推，注重学生生涯规划意识、职业素养与职业精神的培养。</w:t>
      </w:r>
    </w:p>
    <w:p>
      <w:pPr>
        <w:numPr>
          <w:ilvl w:val="0"/>
          <w:numId w:val="0"/>
        </w:numPr>
        <w:spacing w:line="560" w:lineRule="exact"/>
        <w:ind w:firstLine="640" w:firstLineChars="200"/>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一是《大学生职业发展与就业指导》课程建设有成果，</w:t>
      </w:r>
      <w:r>
        <w:rPr>
          <w:rFonts w:hint="eastAsia" w:ascii="仿宋" w:hAnsi="仿宋" w:eastAsia="仿宋" w:cs="仿宋"/>
          <w:color w:val="000000" w:themeColor="text1"/>
          <w:kern w:val="0"/>
          <w:sz w:val="32"/>
          <w:szCs w:val="32"/>
          <w:highlight w:val="none"/>
          <w:lang w:eastAsia="zh-CN"/>
          <w14:textFill>
            <w14:solidFill>
              <w14:schemeClr w14:val="tx1"/>
            </w14:solidFill>
          </w14:textFill>
        </w:rPr>
        <w:t>课程思政试点稳步推进，</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统一规范150个班级的授课课件，</w:t>
      </w:r>
      <w:r>
        <w:rPr>
          <w:rFonts w:hint="eastAsia" w:ascii="仿宋" w:hAnsi="仿宋" w:eastAsia="仿宋" w:cs="仿宋"/>
          <w:color w:val="000000" w:themeColor="text1"/>
          <w:kern w:val="0"/>
          <w:sz w:val="32"/>
          <w:szCs w:val="32"/>
          <w:highlight w:val="none"/>
          <w14:textFill>
            <w14:solidFill>
              <w14:schemeClr w14:val="tx1"/>
            </w14:solidFill>
          </w14:textFill>
        </w:rPr>
        <w:t>组织</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师资遴选、</w:t>
      </w:r>
      <w:r>
        <w:rPr>
          <w:rFonts w:hint="eastAsia" w:ascii="仿宋" w:hAnsi="仿宋" w:eastAsia="仿宋" w:cs="仿宋"/>
          <w:color w:val="000000" w:themeColor="text1"/>
          <w:kern w:val="0"/>
          <w:sz w:val="32"/>
          <w:szCs w:val="32"/>
          <w:highlight w:val="none"/>
          <w14:textFill>
            <w14:solidFill>
              <w14:schemeClr w14:val="tx1"/>
            </w14:solidFill>
          </w14:textFill>
        </w:rPr>
        <w:t>教学研讨会</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4</w:t>
      </w:r>
      <w:r>
        <w:rPr>
          <w:rFonts w:hint="eastAsia" w:ascii="仿宋" w:hAnsi="仿宋" w:eastAsia="仿宋" w:cs="仿宋"/>
          <w:color w:val="000000" w:themeColor="text1"/>
          <w:kern w:val="0"/>
          <w:sz w:val="32"/>
          <w:szCs w:val="32"/>
          <w:highlight w:val="none"/>
          <w14:textFill>
            <w14:solidFill>
              <w14:schemeClr w14:val="tx1"/>
            </w14:solidFill>
          </w14:textFill>
        </w:rPr>
        <w:t>次</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p>
    <w:p>
      <w:pPr>
        <w:numPr>
          <w:ilvl w:val="0"/>
          <w:numId w:val="0"/>
        </w:numPr>
        <w:spacing w:line="560" w:lineRule="exact"/>
        <w:ind w:firstLine="640" w:firstLineChars="200"/>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二是</w:t>
      </w:r>
      <w:r>
        <w:rPr>
          <w:rFonts w:hint="eastAsia" w:ascii="仿宋" w:hAnsi="仿宋" w:eastAsia="仿宋" w:cs="仿宋"/>
          <w:color w:val="000000" w:themeColor="text1"/>
          <w:kern w:val="0"/>
          <w:sz w:val="32"/>
          <w:szCs w:val="32"/>
          <w:highlight w:val="none"/>
          <w:lang w:eastAsia="zh-CN"/>
          <w14:textFill>
            <w14:solidFill>
              <w14:schemeClr w14:val="tx1"/>
            </w14:solidFill>
          </w14:textFill>
        </w:rPr>
        <w:t>组织我校第一期共有</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72位教师参加的</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创新创业师资培训班，选派</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10位教师参加新精英生涯规划师培训班，建设专业化生涯教育队伍。</w:t>
      </w:r>
    </w:p>
    <w:p>
      <w:pPr>
        <w:numPr>
          <w:ilvl w:val="0"/>
          <w:numId w:val="0"/>
        </w:numPr>
        <w:spacing w:line="560" w:lineRule="exact"/>
        <w:ind w:firstLine="640" w:firstLineChars="200"/>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三是大学生生涯工作室基本建成，完成场地建设、硬件采购，为</w:t>
      </w:r>
      <w:r>
        <w:rPr>
          <w:rFonts w:hint="eastAsia" w:ascii="仿宋" w:hAnsi="仿宋" w:eastAsia="仿宋" w:cs="仿宋"/>
          <w:color w:val="000000" w:themeColor="text1"/>
          <w:kern w:val="0"/>
          <w:sz w:val="32"/>
          <w:szCs w:val="32"/>
          <w:highlight w:val="none"/>
          <w14:textFill>
            <w14:solidFill>
              <w14:schemeClr w14:val="tx1"/>
            </w14:solidFill>
          </w14:textFill>
        </w:rPr>
        <w:t>7000多名师生</w:t>
      </w:r>
      <w:r>
        <w:rPr>
          <w:rFonts w:hint="eastAsia" w:ascii="仿宋" w:hAnsi="仿宋" w:eastAsia="仿宋" w:cs="仿宋"/>
          <w:color w:val="000000" w:themeColor="text1"/>
          <w:kern w:val="0"/>
          <w:sz w:val="32"/>
          <w:szCs w:val="32"/>
          <w:highlight w:val="none"/>
          <w:lang w:eastAsia="zh-CN"/>
          <w14:textFill>
            <w14:solidFill>
              <w14:schemeClr w14:val="tx1"/>
            </w14:solidFill>
          </w14:textFill>
        </w:rPr>
        <w:t>提供</w:t>
      </w:r>
      <w:r>
        <w:rPr>
          <w:rFonts w:hint="eastAsia" w:ascii="仿宋" w:hAnsi="仿宋" w:eastAsia="仿宋" w:cs="仿宋"/>
          <w:color w:val="000000" w:themeColor="text1"/>
          <w:kern w:val="0"/>
          <w:sz w:val="32"/>
          <w:szCs w:val="32"/>
          <w:highlight w:val="none"/>
          <w14:textFill>
            <w14:solidFill>
              <w14:schemeClr w14:val="tx1"/>
            </w14:solidFill>
          </w14:textFill>
        </w:rPr>
        <w:t>职业测评</w:t>
      </w:r>
      <w:r>
        <w:rPr>
          <w:rFonts w:hint="eastAsia" w:ascii="仿宋" w:hAnsi="仿宋" w:eastAsia="仿宋" w:cs="仿宋"/>
          <w:color w:val="000000" w:themeColor="text1"/>
          <w:kern w:val="0"/>
          <w:sz w:val="32"/>
          <w:szCs w:val="32"/>
          <w:highlight w:val="none"/>
          <w:lang w:eastAsia="zh-CN"/>
          <w14:textFill>
            <w14:solidFill>
              <w14:schemeClr w14:val="tx1"/>
            </w14:solidFill>
          </w14:textFill>
        </w:rPr>
        <w:t>服务，引导师生学生涯。</w:t>
      </w:r>
    </w:p>
    <w:p>
      <w:pPr>
        <w:numPr>
          <w:ilvl w:val="0"/>
          <w:numId w:val="0"/>
        </w:numPr>
        <w:spacing w:line="560" w:lineRule="exact"/>
        <w:ind w:firstLine="640" w:firstLineChars="200"/>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四是举办首届生涯嘉年华活动，开展</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职业生涯主题讲座、职业生涯直通车、就业指导实战营等活动，</w:t>
      </w:r>
      <w:r>
        <w:rPr>
          <w:rFonts w:hint="eastAsia" w:ascii="仿宋" w:hAnsi="仿宋" w:eastAsia="仿宋" w:cs="仿宋"/>
          <w:color w:val="000000" w:themeColor="text1"/>
          <w:kern w:val="0"/>
          <w:sz w:val="32"/>
          <w:szCs w:val="32"/>
          <w:highlight w:val="none"/>
          <w14:textFill>
            <w14:solidFill>
              <w14:schemeClr w14:val="tx1"/>
            </w14:solidFill>
          </w14:textFill>
        </w:rPr>
        <w:t>帮助学生提升生涯管理能力；</w:t>
      </w:r>
    </w:p>
    <w:p>
      <w:pPr>
        <w:numPr>
          <w:ilvl w:val="0"/>
          <w:numId w:val="0"/>
        </w:num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五</w:t>
      </w:r>
      <w:r>
        <w:rPr>
          <w:rFonts w:hint="eastAsia" w:ascii="仿宋" w:hAnsi="仿宋" w:eastAsia="仿宋" w:cs="仿宋"/>
          <w:color w:val="000000" w:themeColor="text1"/>
          <w:kern w:val="0"/>
          <w:sz w:val="32"/>
          <w:szCs w:val="32"/>
          <w:highlight w:val="none"/>
          <w14:textFill>
            <w14:solidFill>
              <w14:schemeClr w14:val="tx1"/>
            </w14:solidFill>
          </w14:textFill>
        </w:rPr>
        <w:t>是举办大学生简历设计与模拟面试大赛</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、大学生创业营销大赛，提增就业创业教育成效</w:t>
      </w:r>
      <w:r>
        <w:rPr>
          <w:rFonts w:hint="eastAsia" w:ascii="仿宋" w:hAnsi="仿宋" w:eastAsia="仿宋" w:cs="仿宋"/>
          <w:color w:val="000000" w:themeColor="text1"/>
          <w:kern w:val="0"/>
          <w:sz w:val="32"/>
          <w:szCs w:val="32"/>
          <w:highlight w:val="none"/>
          <w14:textFill>
            <w14:solidFill>
              <w14:schemeClr w14:val="tx1"/>
            </w14:solidFill>
          </w14:textFill>
        </w:rPr>
        <w:t>。</w:t>
      </w:r>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56" w:name="_Toc12245"/>
      <w:r>
        <w:rPr>
          <w:rFonts w:hint="default" w:ascii="Times New Roman" w:hAnsi="Times New Roman" w:eastAsia="楷体" w:cs="Times New Roman"/>
          <w:b/>
          <w:bCs/>
          <w:color w:val="auto"/>
          <w:sz w:val="32"/>
          <w:szCs w:val="32"/>
          <w:highlight w:val="none"/>
          <w:lang w:val="en-US" w:eastAsia="zh-CN"/>
        </w:rPr>
        <w:t>（五）弘扬劳模精神和工匠精神</w:t>
      </w:r>
      <w:bookmarkEnd w:id="56"/>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auto"/>
          <w:sz w:val="32"/>
          <w:szCs w:val="32"/>
          <w:highlight w:val="none"/>
          <w:lang w:val="en-US" w:eastAsia="zh-CN"/>
        </w:rPr>
      </w:pPr>
      <w:bookmarkStart w:id="57" w:name="_Toc21848"/>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lang w:val="en-US" w:eastAsia="zh-Hans"/>
        </w:rPr>
        <w:t>.</w:t>
      </w:r>
      <w:r>
        <w:rPr>
          <w:rFonts w:hint="eastAsia" w:ascii="仿宋" w:hAnsi="仿宋" w:eastAsia="仿宋" w:cs="仿宋"/>
          <w:b/>
          <w:bCs/>
          <w:color w:val="auto"/>
          <w:sz w:val="32"/>
          <w:szCs w:val="32"/>
          <w:highlight w:val="none"/>
          <w:lang w:val="en-US" w:eastAsia="zh-CN"/>
        </w:rPr>
        <w:t>加强劳动教育，弘扬劳模精神</w:t>
      </w:r>
      <w:bookmarkEnd w:id="57"/>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我校认真学习贯彻落实全国教育大会精神，深入落实立德树人根本任务，</w:t>
      </w:r>
      <w:r>
        <w:rPr>
          <w:rFonts w:hint="eastAsia" w:ascii="仿宋" w:hAnsi="仿宋" w:eastAsia="仿宋" w:cs="仿宋"/>
          <w:sz w:val="32"/>
          <w:szCs w:val="32"/>
        </w:rPr>
        <w:t>将劳动教育融入人才培养全过程，构建劳动教育课程体系、实践体系。学校出台《广西建设职业技术学院劳动教育实施方案》，成立劳动教育领导小组，组建劳动课教师队伍，系统规划劳动教育。开设《大学生劳动就业法律问题解读》《鲁班精神》《大国工匠》等系列网络选修课程，进一步挖掘劳动教育元素与资源，加强劳动教育的学科渗透，潜移默化中增强大学生马克思主义劳动观。选聘熟悉本专业学科的辅导员、负责实习实训教师为劳动教育专职教师，聘请劳动模范、大国工匠等为兼职导师，形成全员劳</w:t>
      </w:r>
      <w:r>
        <w:rPr>
          <w:rFonts w:hint="eastAsia" w:ascii="仿宋" w:hAnsi="仿宋" w:eastAsia="仿宋" w:cs="仿宋"/>
          <w:color w:val="auto"/>
          <w:sz w:val="32"/>
          <w:szCs w:val="32"/>
          <w:highlight w:val="none"/>
          <w:lang w:val="en-US" w:eastAsia="zh-CN"/>
        </w:rPr>
        <w:t>育格局。</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auto"/>
          <w:sz w:val="32"/>
          <w:szCs w:val="32"/>
          <w:highlight w:val="none"/>
          <w:lang w:val="en-US" w:eastAsia="zh-CN"/>
        </w:rPr>
      </w:pPr>
      <w:bookmarkStart w:id="58" w:name="_Toc32509"/>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lang w:val="en-US" w:eastAsia="zh-Hans"/>
        </w:rPr>
        <w:t>.</w:t>
      </w:r>
      <w:r>
        <w:rPr>
          <w:rFonts w:hint="eastAsia" w:ascii="仿宋" w:hAnsi="仿宋" w:eastAsia="仿宋" w:cs="仿宋"/>
          <w:b/>
          <w:bCs/>
          <w:color w:val="auto"/>
          <w:sz w:val="32"/>
          <w:szCs w:val="32"/>
          <w:highlight w:val="none"/>
          <w:lang w:val="en-US" w:eastAsia="zh-CN"/>
        </w:rPr>
        <w:t>加强职业引导，弘扬工匠精神</w:t>
      </w:r>
      <w:bookmarkEnd w:id="58"/>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学校制定《课程思政建</w:t>
      </w:r>
      <w:r>
        <w:rPr>
          <w:rFonts w:hint="eastAsia" w:ascii="仿宋" w:hAnsi="仿宋" w:eastAsia="仿宋" w:cs="仿宋"/>
          <w:color w:val="000000"/>
          <w:sz w:val="32"/>
          <w:szCs w:val="32"/>
        </w:rPr>
        <w:t>设工作方案》，融入包括鲁班精神在内的中华优秀传统文化教育，注重培养学生精益求精的工匠精神；持续推进现代学徒制，把工匠精神融入教育教学中，在专业与职业双融合培养模式中，着力培养具有扎实专业基础知识，过硬专业实践技能，高尚职业道德修养的建筑</w:t>
      </w:r>
      <w:r>
        <w:rPr>
          <w:rFonts w:hint="eastAsia" w:ascii="仿宋" w:hAnsi="仿宋" w:eastAsia="仿宋" w:cs="仿宋"/>
          <w:color w:val="auto"/>
          <w:sz w:val="32"/>
          <w:szCs w:val="32"/>
          <w:highlight w:val="none"/>
          <w:lang w:val="en-US" w:eastAsia="zh-CN"/>
        </w:rPr>
        <w:t>工匠型人才。</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auto"/>
          <w:sz w:val="32"/>
          <w:szCs w:val="32"/>
          <w:highlight w:val="none"/>
          <w:lang w:val="en-US" w:eastAsia="zh-CN"/>
        </w:rPr>
      </w:pPr>
      <w:bookmarkStart w:id="59" w:name="_Toc25524"/>
      <w:r>
        <w:rPr>
          <w:rFonts w:hint="eastAsia" w:ascii="仿宋" w:hAnsi="仿宋" w:eastAsia="仿宋" w:cs="仿宋"/>
          <w:b/>
          <w:bCs/>
          <w:color w:val="auto"/>
          <w:sz w:val="32"/>
          <w:szCs w:val="32"/>
          <w:highlight w:val="none"/>
          <w:lang w:val="en-US" w:eastAsia="zh-CN"/>
        </w:rPr>
        <w:t>3.开设“弘德育才”思政学堂</w:t>
      </w:r>
      <w:bookmarkEnd w:id="59"/>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 xml:space="preserve">    </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val="0"/>
          <w:color w:val="auto"/>
          <w:sz w:val="32"/>
          <w:szCs w:val="32"/>
        </w:rPr>
      </w:pPr>
      <w:r>
        <w:rPr>
          <w:rFonts w:hint="eastAsia" w:ascii="仿宋" w:hAnsi="仿宋" w:eastAsia="仿宋" w:cs="仿宋"/>
          <w:color w:val="auto"/>
          <w:sz w:val="32"/>
          <w:szCs w:val="32"/>
          <w:highlight w:val="none"/>
          <w:lang w:val="en-US" w:eastAsia="zh-CN"/>
        </w:rPr>
        <w:t>通过领读国学经典、聆听新时代歌曲、开展寻找身边工匠精神系列活动，推出文</w:t>
      </w:r>
      <w:r>
        <w:rPr>
          <w:rFonts w:hint="eastAsia" w:ascii="仿宋" w:hAnsi="仿宋" w:eastAsia="仿宋" w:cs="仿宋"/>
          <w:color w:val="000000" w:themeColor="text1"/>
          <w:sz w:val="32"/>
          <w:szCs w:val="32"/>
          <w14:textFill>
            <w14:solidFill>
              <w14:schemeClr w14:val="tx1"/>
            </w14:solidFill>
          </w14:textFill>
        </w:rPr>
        <w:t>化育人线上作品4</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期，打造“建院精神”主题公开课，弘扬时代精神、工匠精神。</w:t>
      </w:r>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黑体" w:cs="Times New Roman"/>
          <w:b/>
          <w:bCs/>
          <w:color w:val="auto"/>
          <w:sz w:val="32"/>
          <w:szCs w:val="32"/>
          <w:highlight w:val="none"/>
          <w:lang w:val="en-US" w:eastAsia="zh-CN"/>
        </w:rPr>
      </w:pPr>
      <w:bookmarkStart w:id="60" w:name="_Toc16398"/>
      <w:r>
        <w:rPr>
          <w:rFonts w:hint="default" w:ascii="Times New Roman" w:hAnsi="Times New Roman" w:eastAsia="黑体" w:cs="Times New Roman"/>
          <w:b/>
          <w:bCs/>
          <w:color w:val="auto"/>
          <w:sz w:val="32"/>
          <w:szCs w:val="32"/>
          <w:highlight w:val="none"/>
          <w:lang w:val="en-US" w:eastAsia="zh-CN"/>
        </w:rPr>
        <w:t>三、教学改革</w:t>
      </w:r>
      <w:bookmarkEnd w:id="33"/>
      <w:bookmarkEnd w:id="34"/>
      <w:bookmarkEnd w:id="60"/>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61" w:name="_Toc377394800"/>
      <w:bookmarkStart w:id="62" w:name="_Toc14977"/>
      <w:bookmarkStart w:id="63" w:name="_Toc437380308"/>
      <w:bookmarkStart w:id="64" w:name="_Toc15661"/>
      <w:bookmarkStart w:id="65" w:name="_Toc377394801"/>
      <w:r>
        <w:rPr>
          <w:rFonts w:hint="default" w:ascii="Times New Roman" w:hAnsi="Times New Roman" w:eastAsia="楷体" w:cs="Times New Roman"/>
          <w:b/>
          <w:bCs/>
          <w:color w:val="auto"/>
          <w:sz w:val="32"/>
          <w:szCs w:val="32"/>
          <w:highlight w:val="none"/>
          <w:lang w:val="en-US" w:eastAsia="zh-CN"/>
        </w:rPr>
        <w:t>（一）</w:t>
      </w:r>
      <w:bookmarkEnd w:id="61"/>
      <w:bookmarkEnd w:id="62"/>
      <w:bookmarkEnd w:id="63"/>
      <w:bookmarkStart w:id="66" w:name="_Toc15807"/>
      <w:bookmarkStart w:id="67" w:name="_Toc10646_WPSOffice_Level2"/>
      <w:bookmarkStart w:id="68" w:name="_Toc4154_WPSOffice_Level2"/>
      <w:r>
        <w:rPr>
          <w:rFonts w:hint="default" w:ascii="Times New Roman" w:hAnsi="Times New Roman" w:eastAsia="楷体" w:cs="Times New Roman"/>
          <w:b/>
          <w:bCs/>
          <w:color w:val="auto"/>
          <w:sz w:val="32"/>
          <w:szCs w:val="32"/>
          <w:highlight w:val="none"/>
          <w:lang w:val="en-US" w:eastAsia="zh-CN"/>
        </w:rPr>
        <w:t>加强内涵建设，提升优势专业的引领作用</w:t>
      </w:r>
      <w:bookmarkEnd w:id="64"/>
      <w:bookmarkEnd w:id="66"/>
      <w:bookmarkEnd w:id="67"/>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大力推动人才培养模式改革，加强专业建设，促进教学质量显著提高。我</w:t>
      </w:r>
      <w:r>
        <w:rPr>
          <w:rFonts w:hint="eastAsia" w:ascii="仿宋" w:hAnsi="仿宋" w:eastAsia="仿宋" w:cs="仿宋"/>
          <w:color w:val="000000"/>
          <w:sz w:val="32"/>
          <w:szCs w:val="32"/>
        </w:rPr>
        <w:t>校现有专业41个，分梯度建设七大专业群，合理搭建专业结构，加大骨干专业投入，提升优势专业的引领作用。学校建筑工程技术、工程造价、市政工程技术、建筑设计、建筑设备工程技术和建筑装饰技术等6个骨干专业先后获批自治区示范特色专业及实训基地建设项目，共获得专项建设资金6000万元，凸显了学校骨干专业引领全区同类专业的优势地位，同时带动了相关专业群的建设。</w:t>
      </w:r>
      <w:r>
        <w:rPr>
          <w:rFonts w:hint="eastAsia" w:ascii="仿宋" w:hAnsi="仿宋" w:eastAsia="仿宋" w:cs="仿宋"/>
          <w:sz w:val="32"/>
          <w:szCs w:val="32"/>
        </w:rPr>
        <w:t>建筑工程技术、市政工程技术专业教学团队先后获批首批与第二批“国家级职业教育教师教学创新团队立项建设单位”；</w:t>
      </w:r>
      <w:r>
        <w:rPr>
          <w:rFonts w:hint="eastAsia" w:ascii="仿宋" w:hAnsi="仿宋" w:eastAsia="仿宋" w:cs="仿宋"/>
          <w:color w:val="000000"/>
          <w:sz w:val="32"/>
          <w:szCs w:val="32"/>
        </w:rPr>
        <w:t>“建筑工程技术专业群”获批为“中国特色高水平专业群建设单位”，该专业群以建筑工程技术为核心专业，由工程测量技术、建设工程监理、土木工程检测技术3个骨干专业组成。同时获批立项的广西高水平专业群建设单位，确立了我校建筑工程技术专业群、建筑工程管理专业群在全区、乃至全国的领先优势地位。此外，学校积极提升信息化教学水平，强化线上线下教学资源建设，先后获批自治区级职业教育专业教学资源库5个，自治区级职业教育在线精品课程4门，获批立项自治区级虚拟仿真实训基地建设项目、“5G+智慧教</w:t>
      </w:r>
      <w:r>
        <w:rPr>
          <w:rFonts w:hint="eastAsia" w:ascii="仿宋" w:hAnsi="仿宋" w:eastAsia="仿宋" w:cs="仿宋"/>
          <w:color w:val="auto"/>
          <w:sz w:val="32"/>
          <w:szCs w:val="32"/>
          <w:highlight w:val="none"/>
          <w:lang w:val="en-US" w:eastAsia="zh-CN"/>
        </w:rPr>
        <w:t>育”应用试点项目。</w:t>
      </w:r>
      <w:bookmarkEnd w:id="68"/>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仿宋_GB2312" w:cs="Times New Roman"/>
          <w:color w:val="auto"/>
          <w:sz w:val="32"/>
          <w:szCs w:val="32"/>
          <w:highlight w:val="none"/>
          <w:lang w:val="en-US" w:eastAsia="zh-CN"/>
        </w:rPr>
      </w:pPr>
      <w:bookmarkStart w:id="69" w:name="_Toc14903"/>
      <w:r>
        <w:rPr>
          <w:rFonts w:hint="default" w:ascii="Times New Roman" w:hAnsi="Times New Roman" w:eastAsia="楷体" w:cs="Times New Roman"/>
          <w:b/>
          <w:bCs/>
          <w:color w:val="auto"/>
          <w:sz w:val="32"/>
          <w:szCs w:val="32"/>
          <w:highlight w:val="none"/>
          <w:lang w:val="en-US" w:eastAsia="zh-CN"/>
        </w:rPr>
        <w:t>（二）深入推进教育教学改革</w:t>
      </w:r>
      <w:bookmarkEnd w:id="69"/>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bookmarkStart w:id="70" w:name="_Toc9497"/>
      <w:r>
        <w:rPr>
          <w:rFonts w:hint="eastAsia" w:ascii="仿宋" w:hAnsi="仿宋" w:eastAsia="仿宋" w:cs="仿宋"/>
          <w:b/>
          <w:bCs/>
          <w:color w:val="000000"/>
          <w:sz w:val="32"/>
          <w:szCs w:val="32"/>
          <w:lang w:val="en-US" w:eastAsia="zh-CN"/>
        </w:rPr>
        <w:t xml:space="preserve">1.修订人培方案，深化“三教”改革  </w:t>
      </w:r>
      <w:r>
        <w:rPr>
          <w:rFonts w:hint="eastAsia" w:ascii="仿宋" w:hAnsi="仿宋" w:eastAsia="仿宋" w:cs="仿宋"/>
          <w:color w:val="000000"/>
          <w:sz w:val="32"/>
          <w:szCs w:val="32"/>
          <w:lang w:val="en-US" w:eastAsia="zh-CN"/>
        </w:rPr>
        <w:t xml:space="preserve">  </w:t>
      </w:r>
      <w:bookmarkEnd w:id="70"/>
      <w:r>
        <w:rPr>
          <w:rFonts w:hint="eastAsia" w:ascii="仿宋" w:hAnsi="仿宋" w:eastAsia="仿宋" w:cs="仿宋"/>
          <w:color w:val="000000"/>
          <w:sz w:val="32"/>
          <w:szCs w:val="32"/>
          <w:lang w:val="en-US" w:eastAsia="zh-CN"/>
        </w:rPr>
        <w:t xml:space="preserve">             </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对照标准，以“对照标</w:t>
      </w:r>
      <w:r>
        <w:rPr>
          <w:rFonts w:hint="eastAsia" w:ascii="仿宋" w:hAnsi="仿宋" w:eastAsia="仿宋" w:cs="仿宋"/>
          <w:color w:val="000000"/>
          <w:sz w:val="32"/>
          <w:szCs w:val="32"/>
        </w:rPr>
        <w:t>准、结合实际、符合目标、凝炼特色”为原则，高质量完成年度的人才培养方案的制（修）订工作，大力推进专业课程的书证融通；充分发挥广西建筑行业职业教育教学指导委员会各个专指委对专业建设的决策服务，解决专业骨干课程的同质化的问题。以“全面推进课程思政、优化课程知识结构和加强课程教学设计”为修订原则，对328门专业核心课程进行了“课程简介、课程教学目标、课程教学内容及学时分配、教学方法、考核及成绩评</w:t>
      </w:r>
      <w:r>
        <w:rPr>
          <w:rFonts w:hint="eastAsia" w:ascii="仿宋" w:hAnsi="仿宋" w:eastAsia="仿宋" w:cs="仿宋"/>
          <w:color w:val="000000"/>
          <w:sz w:val="32"/>
          <w:szCs w:val="32"/>
          <w:lang w:val="en-US" w:eastAsia="zh-CN"/>
        </w:rPr>
        <w:t>定和参考教学资源”六大内容进行了修订。</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71" w:name="_Toc16617"/>
      <w:r>
        <w:rPr>
          <w:rFonts w:hint="eastAsia" w:ascii="仿宋" w:hAnsi="仿宋" w:eastAsia="仿宋" w:cs="仿宋"/>
          <w:b/>
          <w:bCs/>
          <w:color w:val="000000"/>
          <w:sz w:val="32"/>
          <w:szCs w:val="32"/>
          <w:lang w:val="en-US" w:eastAsia="zh-CN"/>
        </w:rPr>
        <w:t>2.优化积累本科教育教学经验，提升整体教育教学水平</w:t>
      </w:r>
      <w:bookmarkEnd w:id="71"/>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2021年7月，我校</w:t>
      </w:r>
      <w:r>
        <w:rPr>
          <w:rFonts w:hint="eastAsia" w:ascii="仿宋" w:hAnsi="仿宋" w:eastAsia="仿宋" w:cs="仿宋"/>
          <w:color w:val="000000"/>
          <w:sz w:val="32"/>
          <w:szCs w:val="32"/>
        </w:rPr>
        <w:t>与桂林理工大学（南宁分校）联合培养的第一批专升本学生完成在我校本科课程的学习， 8月底桂林理工大学接回继续开展本科阶段最后一学年的教育教学。我校在联合培养合作办学中，严格执行本科人才培养方案，调配全校资源，给本科班配置了最强的师资、最好的实习实训条件，致力于把本次联合培养合作办学打造成为“样板工程”。我校的本科教育教学组织工作和人才培养质量得到了桂林理工大学（南宁分校）的高度肯定和认可，这对于我校进一步凝聚共识、团结奋进，持续推动学校本科建设发展具有重要意义；这也为继续与桂林理工大学（南宁分校）</w:t>
      </w:r>
      <w:r>
        <w:rPr>
          <w:rFonts w:hint="eastAsia" w:ascii="仿宋" w:hAnsi="仿宋" w:eastAsia="仿宋" w:cs="仿宋"/>
          <w:color w:val="000000"/>
          <w:sz w:val="32"/>
          <w:szCs w:val="32"/>
          <w:lang w:val="en-US" w:eastAsia="zh-CN"/>
        </w:rPr>
        <w:t>“再度联手”开展联合培养专升本学生打下了坚实的合作基础。</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bookmarkStart w:id="72" w:name="_Toc4292"/>
      <w:r>
        <w:rPr>
          <w:rFonts w:hint="eastAsia" w:ascii="仿宋" w:hAnsi="仿宋" w:eastAsia="仿宋" w:cs="仿宋"/>
          <w:b/>
          <w:bCs/>
          <w:color w:val="000000"/>
          <w:sz w:val="32"/>
          <w:szCs w:val="32"/>
          <w:lang w:val="en-US" w:eastAsia="zh-CN"/>
        </w:rPr>
        <w:t xml:space="preserve">3.推进高职扩招服务地方高质量发展   </w:t>
      </w:r>
      <w:r>
        <w:rPr>
          <w:rFonts w:hint="eastAsia" w:ascii="仿宋" w:hAnsi="仿宋" w:eastAsia="仿宋" w:cs="仿宋"/>
          <w:color w:val="000000"/>
          <w:sz w:val="32"/>
          <w:szCs w:val="32"/>
          <w:lang w:val="en-US" w:eastAsia="zh-CN"/>
        </w:rPr>
        <w:t xml:space="preserve">  </w:t>
      </w:r>
      <w:bookmarkEnd w:id="72"/>
      <w:r>
        <w:rPr>
          <w:rFonts w:hint="eastAsia" w:ascii="仿宋" w:hAnsi="仿宋" w:eastAsia="仿宋" w:cs="仿宋"/>
          <w:color w:val="000000"/>
          <w:sz w:val="32"/>
          <w:szCs w:val="32"/>
          <w:lang w:val="en-US" w:eastAsia="zh-CN"/>
        </w:rPr>
        <w:t xml:space="preserve">       </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广西建设职业技</w:t>
      </w:r>
      <w:r>
        <w:rPr>
          <w:rFonts w:hint="eastAsia" w:ascii="仿宋" w:hAnsi="仿宋" w:eastAsia="仿宋" w:cs="仿宋"/>
          <w:color w:val="000000"/>
          <w:sz w:val="32"/>
          <w:szCs w:val="32"/>
        </w:rPr>
        <w:t>术学院积极响应党和国家号召，充分发挥“双高”校的带动引领作用，探索弹性学习制度和灵活多元教学模式，全力做好建筑业农民工扩招工作。2019年至今，与城市建设学校联合培养超过百名弹性学制半工半读学生，</w:t>
      </w:r>
      <w:r>
        <w:rPr>
          <w:rFonts w:hint="eastAsia" w:ascii="仿宋" w:hAnsi="仿宋" w:eastAsia="仿宋" w:cs="仿宋"/>
          <w:color w:val="000000"/>
          <w:sz w:val="32"/>
          <w:szCs w:val="32"/>
          <w:lang w:val="en-US" w:eastAsia="zh-CN"/>
        </w:rPr>
        <w:t>积极推进高职扩招服务地方建筑行业高质量发展。</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73" w:name="_Toc19773"/>
      <w:r>
        <w:rPr>
          <w:rFonts w:hint="eastAsia" w:ascii="仿宋" w:hAnsi="仿宋" w:eastAsia="仿宋" w:cs="仿宋"/>
          <w:b/>
          <w:bCs/>
          <w:color w:val="000000"/>
          <w:sz w:val="32"/>
          <w:szCs w:val="32"/>
          <w:lang w:val="en-US" w:eastAsia="zh-CN"/>
        </w:rPr>
        <w:t>4.打通职业教育上升通道，搭建人才培养的立交桥</w:t>
      </w:r>
      <w:bookmarkEnd w:id="73"/>
    </w:p>
    <w:p>
      <w:pPr>
        <w:keepNext w:val="0"/>
        <w:keepLines w:val="0"/>
        <w:pageBreakBefore w:val="0"/>
        <w:widowControl/>
        <w:kinsoku/>
        <w:wordWrap/>
        <w:overflowPunct/>
        <w:topLinePunct w:val="0"/>
        <w:autoSpaceDE/>
        <w:autoSpaceDN/>
        <w:bidi w:val="0"/>
        <w:snapToGrid/>
        <w:spacing w:line="560" w:lineRule="exact"/>
        <w:ind w:left="0" w:leftChars="0" w:right="0" w:rightChars="0" w:firstLine="320" w:firstLineChars="1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（1）升本人</w:t>
      </w:r>
      <w:r>
        <w:rPr>
          <w:rFonts w:hint="eastAsia" w:ascii="仿宋" w:hAnsi="仿宋" w:eastAsia="仿宋" w:cs="仿宋"/>
          <w:color w:val="000000"/>
          <w:sz w:val="32"/>
          <w:szCs w:val="32"/>
        </w:rPr>
        <w:t>数“三连增”，升本专业“全覆盖”，专升本工作再创佳绩。2021年专升本工作在学校领导的沟通协调、各系的配合努力下，排除困难，顺利完成了专升本工作，共推荐了1607名优秀毕业生升入16所本科院校，其中公办本科9所，民办本科7所，升本比例31.1%，升本人数和升本比例实现三连增，同时连续三年保持“升本专业全覆盖”。</w:t>
      </w:r>
    </w:p>
    <w:p>
      <w:pPr>
        <w:keepNext w:val="0"/>
        <w:keepLines w:val="0"/>
        <w:pageBreakBefore w:val="0"/>
        <w:widowControl/>
        <w:kinsoku/>
        <w:wordWrap/>
        <w:overflowPunct/>
        <w:topLinePunct w:val="0"/>
        <w:autoSpaceDE/>
        <w:autoSpaceDN/>
        <w:bidi w:val="0"/>
        <w:snapToGrid/>
        <w:spacing w:line="560" w:lineRule="exact"/>
        <w:ind w:left="0" w:leftChars="0" w:firstLine="320" w:firstLineChars="1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联合培养专升本学生合作模式继续深化。2021年，我校继续和桂林理工大学（南宁分校）开展联合培养专升本工作，采取的是“1+1”人才培养模式。2021年对接的联合培养专业为工程造价，招录学生120人。这是我校高端应用型本科人才联合培养试点项目、“2+3”中职与高职分段培养试点项目后，在现代职教体系建设上取得的又一突破，为深化专业建设内涵、提高人才培养层次准备了条件，这也标志着我校在推动职业本科建设工作上迈出坚实一步。</w:t>
      </w:r>
    </w:p>
    <w:p>
      <w:pPr>
        <w:keepNext w:val="0"/>
        <w:keepLines w:val="0"/>
        <w:pageBreakBefore w:val="0"/>
        <w:widowControl/>
        <w:kinsoku/>
        <w:wordWrap/>
        <w:overflowPunct/>
        <w:topLinePunct w:val="0"/>
        <w:autoSpaceDE/>
        <w:autoSpaceDN/>
        <w:bidi w:val="0"/>
        <w:adjustRightInd/>
        <w:snapToGrid/>
        <w:spacing w:line="560" w:lineRule="exact"/>
        <w:ind w:left="0" w:leftChars="0" w:firstLine="320" w:firstLineChars="1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（3）深入推进应用型协同培养项目，携手培养高质量应用型人才。2021年，我校与贺州学院、广西盛元华工程咨询有限公司再</w:t>
      </w:r>
      <w:r>
        <w:rPr>
          <w:rFonts w:hint="eastAsia" w:ascii="仿宋" w:hAnsi="仿宋" w:eastAsia="仿宋" w:cs="仿宋"/>
          <w:color w:val="000000"/>
          <w:sz w:val="32"/>
          <w:szCs w:val="32"/>
          <w:lang w:eastAsia="zh-CN"/>
        </w:rPr>
        <w:t>续</w:t>
      </w:r>
      <w:r>
        <w:rPr>
          <w:rFonts w:hint="eastAsia" w:ascii="仿宋" w:hAnsi="仿宋" w:eastAsia="仿宋" w:cs="仿宋"/>
          <w:color w:val="000000"/>
          <w:sz w:val="32"/>
          <w:szCs w:val="32"/>
        </w:rPr>
        <w:t>前缘，三方在2020年开展应用型协同培养项目的基础上，签订了2021年的应用型本科人才产教融合协同培养试点项目协议，采取“2+1+1”合作培养模式，联合培养工程造价专业学生。</w:t>
      </w:r>
    </w:p>
    <w:p>
      <w:pPr>
        <w:keepNext w:val="0"/>
        <w:keepLines w:val="0"/>
        <w:pageBreakBefore w:val="0"/>
        <w:widowControl/>
        <w:kinsoku/>
        <w:wordWrap/>
        <w:overflowPunct/>
        <w:topLinePunct w:val="0"/>
        <w:autoSpaceDE/>
        <w:autoSpaceDN/>
        <w:bidi w:val="0"/>
        <w:snapToGrid/>
        <w:spacing w:line="560" w:lineRule="exact"/>
        <w:ind w:left="0" w:leftChars="0" w:firstLine="320" w:firstLineChars="1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2021年，我校还与广西艺术学院、广西建筑科学研究设计院联合开展应用型本科人才产教融合协同培养试点项目，这也是继与贺州学院、广西盛元华工程咨询有限公司开展协同育人项目之后又一个深入产教融合，协同育人的合作典范。</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我校一直不断深化人才培养模式改革，大力推进应用型人才培养。此次两个应用型本科人才产教融合协同培养试点项目的落地，将会更充分对接区域产业发展需求，促进学校</w:t>
      </w:r>
      <w:r>
        <w:rPr>
          <w:rFonts w:hint="eastAsia" w:ascii="仿宋" w:hAnsi="仿宋" w:eastAsia="仿宋" w:cs="仿宋"/>
          <w:color w:val="000000"/>
          <w:sz w:val="32"/>
          <w:szCs w:val="32"/>
          <w:lang w:val="en-US" w:eastAsia="zh-CN"/>
        </w:rPr>
        <w:t>内涵发展，全面提升学校为经济社会发展服务的能力。</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74" w:name="_Toc4581"/>
      <w:r>
        <w:rPr>
          <w:rFonts w:hint="eastAsia" w:ascii="仿宋" w:hAnsi="仿宋" w:eastAsia="仿宋" w:cs="仿宋"/>
          <w:b/>
          <w:bCs/>
          <w:color w:val="000000"/>
          <w:sz w:val="32"/>
          <w:szCs w:val="32"/>
          <w:lang w:val="en-US" w:eastAsia="zh-CN"/>
        </w:rPr>
        <w:t>5.课程建设成效显著</w:t>
      </w:r>
      <w:bookmarkEnd w:id="74"/>
    </w:p>
    <w:p>
      <w:pPr>
        <w:pageBreakBefore w:val="0"/>
        <w:kinsoku/>
        <w:wordWrap/>
        <w:overflowPunct/>
        <w:topLinePunct w:val="0"/>
        <w:bidi w:val="0"/>
        <w:spacing w:line="560" w:lineRule="exact"/>
        <w:ind w:left="0" w:leftChars="0" w:right="0" w:rightChars="0" w:firstLine="320" w:firstLineChars="1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（1）课程思政教学改革富有成效。制定《课程思政建</w:t>
      </w:r>
      <w:r>
        <w:rPr>
          <w:rFonts w:hint="eastAsia" w:ascii="仿宋" w:hAnsi="仿宋" w:eastAsia="仿宋" w:cs="仿宋"/>
          <w:color w:val="000000"/>
          <w:sz w:val="32"/>
          <w:szCs w:val="32"/>
        </w:rPr>
        <w:t>设评价标准》，定期对课程思政建设情况滚动评价。修订《广西建设职业技术学院教学管理工作规范》，明确教学各个环节课程思政要求，进一步规范课堂教学行为。完成首批百门“课程思政”试点课程遴选工作，启动第二批百门“课程思政”试点课程遴选和评审工作，逐步建成“课程思政”全覆盖的教学体系。启动课程思政工作坊项目，打造广西建设职业技术学院课程思政“金课”。目前，我校13门课程思政课程获得校级课程思政示范课程；2门课程成功获评为国家级课程思政示范课程、教学名师和团队；7门课程获评2021年自治区课程思政示范课程。</w:t>
      </w:r>
    </w:p>
    <w:p>
      <w:pPr>
        <w:spacing w:line="560" w:lineRule="exact"/>
        <w:ind w:firstLine="600"/>
        <w:rPr>
          <w:rFonts w:hint="eastAsia" w:ascii="仿宋" w:hAnsi="仿宋" w:eastAsia="仿宋" w:cs="仿宋"/>
          <w:color w:val="000000"/>
          <w:sz w:val="32"/>
          <w:szCs w:val="32"/>
        </w:rPr>
      </w:pPr>
      <w:r>
        <w:rPr>
          <w:rFonts w:hint="eastAsia" w:ascii="仿宋" w:hAnsi="仿宋" w:eastAsia="仿宋" w:cs="仿宋"/>
          <w:color w:val="000000"/>
          <w:sz w:val="32"/>
          <w:szCs w:val="32"/>
        </w:rPr>
        <w:t>2021年9月，承办由教育部组织的全国土木建筑专业大类课程思政集体备课活动，在线人数达到5000人，取得了良好的教学效果，得到了全国同行的高度认可，示范引领了全国土建类专业的课程思政教学改革。</w:t>
      </w:r>
    </w:p>
    <w:p>
      <w:pPr>
        <w:spacing w:line="560" w:lineRule="exact"/>
        <w:ind w:left="0" w:leftChars="0" w:firstLine="320" w:firstLineChars="100"/>
        <w:rPr>
          <w:rFonts w:hint="eastAsia" w:ascii="仿宋" w:hAnsi="仿宋" w:eastAsia="仿宋" w:cs="仿宋"/>
          <w:color w:val="000000"/>
          <w:sz w:val="32"/>
          <w:szCs w:val="32"/>
        </w:rPr>
      </w:pPr>
      <w:r>
        <w:rPr>
          <w:rFonts w:hint="eastAsia" w:ascii="仿宋" w:hAnsi="仿宋" w:eastAsia="仿宋" w:cs="仿宋"/>
          <w:b w:val="0"/>
          <w:bCs w:val="0"/>
          <w:color w:val="000000"/>
          <w:sz w:val="32"/>
          <w:szCs w:val="32"/>
        </w:rPr>
        <w:t>（2）大力推进在线课程建设</w:t>
      </w:r>
      <w:r>
        <w:rPr>
          <w:rFonts w:hint="eastAsia" w:ascii="仿宋" w:hAnsi="仿宋" w:eastAsia="仿宋" w:cs="仿宋"/>
          <w:b w:val="0"/>
          <w:bCs w:val="0"/>
          <w:color w:val="000000"/>
          <w:sz w:val="32"/>
          <w:szCs w:val="32"/>
          <w:lang w:eastAsia="zh-CN"/>
        </w:rPr>
        <w:t>。</w:t>
      </w:r>
      <w:r>
        <w:rPr>
          <w:rFonts w:hint="eastAsia" w:ascii="仿宋" w:hAnsi="仿宋" w:eastAsia="仿宋" w:cs="仿宋"/>
          <w:color w:val="000000"/>
          <w:sz w:val="32"/>
          <w:szCs w:val="32"/>
        </w:rPr>
        <w:t>我校制定《广西建设职业技术学院在线课程建设与应用实施方案》，启动校级在线精品课程申报工作，择优认定20门左右校级在线精品课程。打造“学银在线平台”和“智慧职教平台”，实现全方位在线学习服务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践行“互联网+教育”理念。我校庞毅玲老师主持的《混凝土结构平法施工图识读》和刘宇青老师主持的《建筑装饰简史》2门课程获评为2021年自治区级职业教育在线精品课程。</w:t>
      </w:r>
      <w:r>
        <w:rPr>
          <w:rFonts w:hint="eastAsia" w:ascii="仿宋" w:hAnsi="仿宋" w:eastAsia="仿宋" w:cs="仿宋"/>
          <w:color w:val="000000"/>
          <w:sz w:val="32"/>
          <w:szCs w:val="32"/>
          <w:lang w:eastAsia="zh-CN"/>
        </w:rPr>
        <w:t>截至目前</w:t>
      </w:r>
      <w:r>
        <w:rPr>
          <w:rFonts w:hint="eastAsia" w:ascii="仿宋" w:hAnsi="仿宋" w:eastAsia="仿宋" w:cs="仿宋"/>
          <w:color w:val="000000"/>
          <w:sz w:val="32"/>
          <w:szCs w:val="32"/>
        </w:rPr>
        <w:t>，我校共4门课程获评为在线精品课程。</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我校将继续建设沉浸式课堂、课程录播室、改造智慧课堂教室、现代式多媒体合堂教室等教学场景，满足线上学习、线下体验和智慧教学的功能需求，推进“信息技术+教学+管理”，服务信息化时代“教与学”，促进了学校学生学习方式的改变，致力于打造特色鲜明的信息化、立体化、智慧化</w:t>
      </w:r>
      <w:r>
        <w:rPr>
          <w:rFonts w:hint="eastAsia" w:ascii="仿宋" w:hAnsi="仿宋" w:eastAsia="仿宋" w:cs="仿宋"/>
          <w:color w:val="000000"/>
          <w:sz w:val="32"/>
          <w:szCs w:val="32"/>
          <w:lang w:val="en-US" w:eastAsia="zh-CN"/>
        </w:rPr>
        <w:t>学习空间。</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75" w:name="_Toc6949"/>
      <w:r>
        <w:rPr>
          <w:rFonts w:hint="eastAsia" w:ascii="仿宋" w:hAnsi="仿宋" w:eastAsia="仿宋" w:cs="仿宋"/>
          <w:b/>
          <w:bCs/>
          <w:color w:val="000000"/>
          <w:sz w:val="32"/>
          <w:szCs w:val="32"/>
          <w:lang w:val="en-US" w:eastAsia="zh-CN"/>
        </w:rPr>
        <w:t>6.教材建设成果获得新突破</w:t>
      </w:r>
      <w:bookmarkEnd w:id="75"/>
    </w:p>
    <w:p>
      <w:pPr>
        <w:pageBreakBefore w:val="0"/>
        <w:kinsoku/>
        <w:wordWrap/>
        <w:overflowPunct/>
        <w:topLinePunct w:val="0"/>
        <w:bidi w:val="0"/>
        <w:spacing w:line="560" w:lineRule="exact"/>
        <w:ind w:left="0" w:leftChars="0" w:right="0" w:rightChars="0" w:firstLine="320" w:firstLineChars="1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（1）压实主体责任，</w:t>
      </w:r>
      <w:r>
        <w:rPr>
          <w:rFonts w:hint="eastAsia" w:ascii="仿宋" w:hAnsi="仿宋" w:eastAsia="仿宋" w:cs="仿宋"/>
          <w:color w:val="000000"/>
          <w:sz w:val="32"/>
          <w:szCs w:val="32"/>
        </w:rPr>
        <w:t>严把教材政治关和学术关。2021年，由教务科研处牵头，组织全校12个教学单位，进行了党的教育方针相关内容表述专项排查、少数民族文字教材教辅使用情况排查、法学教材和教材意识形态排查三个专项内容的教材排查。经多次排查，我校所选用的教材教辅在政治性、思想性、学术性、规范性、适宜性等方面均满足教育要求，无意识形态问题。</w:t>
      </w:r>
    </w:p>
    <w:p>
      <w:pPr>
        <w:spacing w:line="560" w:lineRule="exact"/>
        <w:ind w:firstLine="320" w:firstLineChars="100"/>
        <w:rPr>
          <w:rFonts w:hint="eastAsia" w:ascii="仿宋" w:hAnsi="仿宋" w:eastAsia="仿宋" w:cs="仿宋"/>
          <w:color w:val="000000"/>
          <w:sz w:val="32"/>
          <w:szCs w:val="32"/>
        </w:rPr>
      </w:pPr>
      <w:r>
        <w:rPr>
          <w:rFonts w:hint="eastAsia" w:ascii="仿宋" w:hAnsi="仿宋" w:eastAsia="仿宋" w:cs="仿宋"/>
          <w:color w:val="000000"/>
          <w:sz w:val="32"/>
          <w:szCs w:val="32"/>
        </w:rPr>
        <w:t>（2）2021年，我校文桂萍教授荣获“全国教材建设先进个人”称号；李向民教授主编的教材《建筑工程测量》（第2版）荣获全国优秀教材（职业教育与继续教育类）二等奖。这是我校全面推进中国特色高水平高职学校建设，落实职业教育提质培优行动计划，不断深化教育教学改革和教材建设工作取得的又一标志性成果。</w:t>
      </w:r>
    </w:p>
    <w:p>
      <w:pPr>
        <w:pageBreakBefore w:val="0"/>
        <w:kinsoku/>
        <w:wordWrap/>
        <w:overflowPunct/>
        <w:topLinePunct w:val="0"/>
        <w:bidi w:val="0"/>
        <w:spacing w:line="560" w:lineRule="exact"/>
        <w:ind w:left="0" w:leftChars="0" w:right="0" w:rightChars="0" w:firstLine="320" w:firstLineChars="1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3）2021年各二级学院共建设五本“十四五”建筑行业规划教材，出版三本活页式教材，完成三本校本活页式教材的修订，建立教材动态更新机制，吸收行业企业新技术、新工艺，及时更新教材内容，逐步构建以校本教材为主干的专</w:t>
      </w:r>
      <w:r>
        <w:rPr>
          <w:rFonts w:hint="eastAsia" w:ascii="仿宋" w:hAnsi="仿宋" w:eastAsia="仿宋" w:cs="仿宋"/>
          <w:color w:val="000000"/>
          <w:sz w:val="32"/>
          <w:szCs w:val="32"/>
          <w:lang w:val="en-US" w:eastAsia="zh-CN"/>
        </w:rPr>
        <w:t>业课程教材体系。</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76" w:name="_Toc31962_WPSOffice_Level3"/>
      <w:bookmarkStart w:id="77" w:name="_Toc26990"/>
      <w:bookmarkStart w:id="78" w:name="_Toc32104_WPSOffice_Level3"/>
      <w:r>
        <w:rPr>
          <w:rFonts w:hint="eastAsia" w:ascii="仿宋" w:hAnsi="仿宋" w:eastAsia="仿宋" w:cs="仿宋"/>
          <w:b/>
          <w:bCs/>
          <w:color w:val="000000"/>
          <w:sz w:val="32"/>
          <w:szCs w:val="32"/>
          <w:lang w:val="en-US" w:eastAsia="zh-CN"/>
        </w:rPr>
        <w:t>7.紧扣“双高”建设任务，有效推行1+X证书制度试点工作</w:t>
      </w:r>
      <w:bookmarkEnd w:id="76"/>
      <w:bookmarkEnd w:id="77"/>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2021年我校获批</w:t>
      </w:r>
      <w:r>
        <w:rPr>
          <w:rFonts w:hint="eastAsia" w:ascii="仿宋" w:hAnsi="仿宋" w:eastAsia="仿宋" w:cs="仿宋"/>
          <w:color w:val="000000"/>
          <w:sz w:val="32"/>
          <w:szCs w:val="32"/>
        </w:rPr>
        <w:t>教育部备案1+X证书21个，其中14个证书被列为广西牵头试点院校（即省级管理中心），较2020年分别增长61.5%和100%，专业覆盖率达到85%以上；获批培训人数达到1794人，较2020年增长14.8%，试点工作在我校已经全面铺开。学校印发了《学习成果转换办法》文件，基于校级学分银行建立了X证书的学分认证体系，初步实现将职业技能培训与学历课程体系结合。学校结合职业技能标准、课程标准和相关赛项竞赛规程开展教学与训练，在学生</w:t>
      </w:r>
      <w:r>
        <w:rPr>
          <w:rFonts w:hint="eastAsia" w:ascii="仿宋" w:hAnsi="仿宋" w:eastAsia="仿宋" w:cs="仿宋"/>
          <w:color w:val="000000"/>
          <w:sz w:val="32"/>
          <w:szCs w:val="32"/>
          <w:lang w:val="en-US" w:eastAsia="zh-CN"/>
        </w:rPr>
        <w:t>技能大赛中取得了优异成绩。</w:t>
      </w:r>
      <w:bookmarkEnd w:id="78"/>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仿宋_GB2312" w:cs="Times New Roman"/>
          <w:color w:val="auto"/>
          <w:sz w:val="32"/>
          <w:szCs w:val="32"/>
          <w:highlight w:val="none"/>
          <w:lang w:val="en-US" w:eastAsia="zh-CN"/>
        </w:rPr>
      </w:pPr>
      <w:bookmarkStart w:id="79" w:name="_Toc12652"/>
      <w:bookmarkStart w:id="80" w:name="_Toc3118_WPSOffice_Level2"/>
      <w:r>
        <w:rPr>
          <w:rFonts w:hint="default" w:ascii="Times New Roman" w:hAnsi="Times New Roman" w:eastAsia="楷体" w:cs="Times New Roman"/>
          <w:b/>
          <w:bCs/>
          <w:color w:val="auto"/>
          <w:sz w:val="32"/>
          <w:szCs w:val="32"/>
          <w:highlight w:val="none"/>
          <w:lang w:val="en-US" w:eastAsia="zh-CN"/>
        </w:rPr>
        <w:t>（三）校企合作，产教融合成效显著</w:t>
      </w:r>
      <w:bookmarkEnd w:id="79"/>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围绕发挥企业</w:t>
      </w:r>
      <w:r>
        <w:rPr>
          <w:rFonts w:hint="eastAsia" w:ascii="仿宋" w:hAnsi="仿宋" w:eastAsia="仿宋" w:cs="仿宋"/>
          <w:color w:val="000000"/>
          <w:sz w:val="32"/>
          <w:szCs w:val="32"/>
        </w:rPr>
        <w:t>重要主体作用，促进人才培养供给侧和产业需求侧结构要素全方位融合，依托学校校企合作发展理事会、广西建设职业教育集团、广西建筑职业教育教学指导委员会优质平台，以“工学结合，校企协同育人，过程共管，成果共享，优势互补，校企双赢”为合作理念，大力推进创新人才培养模式。</w:t>
      </w:r>
      <w:r>
        <w:rPr>
          <w:rFonts w:hint="eastAsia" w:ascii="仿宋" w:hAnsi="仿宋" w:eastAsia="仿宋" w:cs="仿宋"/>
          <w:color w:val="000000"/>
          <w:sz w:val="32"/>
          <w:szCs w:val="32"/>
          <w:lang w:bidi="ar"/>
        </w:rPr>
        <w:t>与桂林建昌建设有限公司、广西众泰建筑工程发展有限公司、</w:t>
      </w:r>
      <w:r>
        <w:rPr>
          <w:rFonts w:hint="eastAsia" w:ascii="仿宋" w:hAnsi="仿宋" w:eastAsia="仿宋" w:cs="仿宋"/>
          <w:color w:val="000000"/>
          <w:sz w:val="32"/>
          <w:szCs w:val="32"/>
        </w:rPr>
        <w:t>广西建工大都租赁有限公司签订校企合作协议，合作开办现代学徒制班级</w:t>
      </w:r>
      <w:r>
        <w:rPr>
          <w:rFonts w:hint="eastAsia" w:ascii="仿宋" w:hAnsi="仿宋" w:eastAsia="仿宋" w:cs="仿宋"/>
          <w:color w:val="000000"/>
          <w:sz w:val="32"/>
          <w:szCs w:val="32"/>
          <w:lang w:bidi="ar"/>
        </w:rPr>
        <w:t>，落实校企双主体育人，助力职教精准扶贫。与广西建工集团控股有限公司、广联达科技股份有限公司共建智慧建造产业学院，校企双方共同探索建立就业、职业、产业、行业和企业“五业联动”的产教深度融合新机制，加快行业创新人才培养，促进行业高质量发展。</w:t>
      </w:r>
    </w:p>
    <w:p>
      <w:pPr>
        <w:spacing w:line="560" w:lineRule="exact"/>
        <w:ind w:firstLine="600"/>
        <w:rPr>
          <w:rFonts w:hint="eastAsia" w:ascii="仿宋" w:hAnsi="仿宋" w:eastAsia="仿宋" w:cs="仿宋"/>
          <w:color w:val="000000"/>
          <w:sz w:val="32"/>
          <w:szCs w:val="32"/>
        </w:rPr>
      </w:pPr>
      <w:r>
        <w:rPr>
          <w:rFonts w:hint="eastAsia" w:ascii="仿宋" w:hAnsi="仿宋" w:eastAsia="仿宋" w:cs="仿宋"/>
          <w:color w:val="000000"/>
          <w:sz w:val="32"/>
          <w:szCs w:val="32"/>
        </w:rPr>
        <w:t>目前我校校企合作发展理事会成员单位已达107家，职业教育集团成员单位84家，共有14家校企合作单位进驻我校，建立校中厂，办公场所面积近6350平方米，工作人员232人，实现产值5200余万元。校企共同建立了218个稳定的校外实习实训基地，形成了“依托行业，校企合作，以产促学，服务地方”的办学特色，以校中厂、厂中校作为学生实践、实训场所，进行校企订单培养模式。</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深化校企双主体育人机制，打通人才培养立交桥，逐步形成集团化办学模式，我校与集团内中职学校、合作企业共同研究、编制专业人才培养方案42份，明确各专业教学标准，将职业技能等级证书培训与课程标准有机融合，实现中高职专业课程有机衔接、学校知识传授、技能培养与企业岗位需求衔接，努力践行校企“七个共同”，实现教师团队、教学资源、教学方法和教材联合共建，共同编制新型活页式教材11本、工作手册式教材5本，以企业实际项目为载体，通过项目各环节工作任务使学生充分掌握岗位所需的技术技能；同时，校企共同编写“1+X”证书制度配套教材5本，校企共建自治区级精品课程4门，自治区级专业教学资源库5门，有效实现教学资源共建、共享。及时将行业发展方向与新技术、新工艺融入人才培养全过程，及时完善职业教育集团信息填报，对集团组织形式、集团制度建设、集团运行转台、集团办学成效、集团服务能力、保障机制、集团教学情况、集团特色创新等方面进行资料整理与总结。于2019年10月28日获批为自治区第二批示范性职业教育集团，并由自治区教育推荐申报国家级职教集团试点单位，于2020年10月15日获批为第一批示范性职业教育集团（联盟）培</w:t>
      </w:r>
      <w:r>
        <w:rPr>
          <w:rFonts w:hint="eastAsia" w:ascii="仿宋" w:hAnsi="仿宋" w:eastAsia="仿宋" w:cs="仿宋"/>
          <w:color w:val="000000"/>
          <w:sz w:val="32"/>
          <w:szCs w:val="32"/>
          <w:lang w:val="en-US" w:eastAsia="zh-CN"/>
        </w:rPr>
        <w:t>育单位。</w:t>
      </w:r>
      <w:bookmarkEnd w:id="80"/>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81" w:name="_Toc11795"/>
      <w:r>
        <w:rPr>
          <w:rFonts w:hint="default" w:ascii="Times New Roman" w:hAnsi="Times New Roman" w:eastAsia="楷体" w:cs="Times New Roman"/>
          <w:b/>
          <w:bCs/>
          <w:color w:val="auto"/>
          <w:sz w:val="32"/>
          <w:szCs w:val="32"/>
          <w:highlight w:val="none"/>
          <w:lang w:val="en-US" w:eastAsia="zh-CN"/>
        </w:rPr>
        <w:t>（四）实训基地建设</w:t>
      </w:r>
      <w:bookmarkEnd w:id="81"/>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实训基地建设按照统筹规划、互惠互利、合理设置、全面开放、资源共享的原则，</w:t>
      </w:r>
      <w:r>
        <w:rPr>
          <w:rFonts w:hint="eastAsia" w:ascii="仿宋" w:hAnsi="仿宋" w:eastAsia="仿宋" w:cs="仿宋"/>
          <w:color w:val="000000"/>
          <w:sz w:val="32"/>
          <w:szCs w:val="32"/>
        </w:rPr>
        <w:t>依托</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校企合作发展理事会、广西建设职业教育集团、广西建筑职业教育教学指导委员会优质平台，尽可能与专业有关的企事业单位合作，使学生在尽可能真实的职业环境中进行生产性实训和顶岗实习，大力推进创新人才培养模式。</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先后投入2000多万元，</w:t>
      </w:r>
      <w:r>
        <w:rPr>
          <w:rFonts w:hint="eastAsia" w:ascii="仿宋" w:hAnsi="仿宋" w:eastAsia="仿宋" w:cs="仿宋"/>
          <w:color w:val="000000"/>
          <w:sz w:val="32"/>
          <w:szCs w:val="32"/>
          <w:lang w:eastAsia="zh-CN"/>
        </w:rPr>
        <w:t>继续完善“</w:t>
      </w:r>
      <w:r>
        <w:rPr>
          <w:rFonts w:hint="eastAsia" w:ascii="仿宋" w:hAnsi="仿宋" w:eastAsia="仿宋" w:cs="仿宋"/>
          <w:color w:val="000000"/>
          <w:sz w:val="32"/>
          <w:szCs w:val="32"/>
          <w:lang w:val="en-US" w:eastAsia="zh-CN"/>
        </w:rPr>
        <w:t>1+X</w:t>
      </w:r>
      <w:r>
        <w:rPr>
          <w:rFonts w:hint="eastAsia" w:ascii="仿宋" w:hAnsi="仿宋" w:eastAsia="仿宋" w:cs="仿宋"/>
          <w:color w:val="000000"/>
          <w:sz w:val="32"/>
          <w:szCs w:val="32"/>
          <w:lang w:eastAsia="zh-CN"/>
        </w:rPr>
        <w:t>”教训培考一体化基地</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新建AI+建筑实训教学基地</w:t>
      </w:r>
      <w:r>
        <w:rPr>
          <w:rFonts w:hint="eastAsia" w:ascii="仿宋" w:hAnsi="仿宋" w:eastAsia="仿宋" w:cs="仿宋"/>
          <w:color w:val="000000"/>
          <w:sz w:val="32"/>
          <w:szCs w:val="32"/>
          <w:lang w:val="en-US" w:eastAsia="zh-CN"/>
        </w:rPr>
        <w:t>，提升改造11间实训室</w:t>
      </w:r>
      <w:r>
        <w:rPr>
          <w:rFonts w:hint="eastAsia" w:ascii="仿宋" w:hAnsi="仿宋" w:eastAsia="仿宋" w:cs="仿宋"/>
          <w:color w:val="000000"/>
          <w:sz w:val="32"/>
          <w:szCs w:val="32"/>
        </w:rPr>
        <w:t>等，在满足学生实践性教学要求的前提下，同时也能为行业、社会的技术性人才开展实践性教学和各类</w:t>
      </w:r>
      <w:r>
        <w:rPr>
          <w:rFonts w:hint="eastAsia" w:ascii="仿宋" w:hAnsi="仿宋" w:eastAsia="仿宋" w:cs="仿宋"/>
          <w:color w:val="000000"/>
          <w:sz w:val="32"/>
          <w:szCs w:val="32"/>
          <w:lang w:val="en-US" w:eastAsia="zh-CN"/>
        </w:rPr>
        <w:t>专门性培训。</w:t>
      </w:r>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82" w:name="_Toc12964"/>
      <w:r>
        <w:rPr>
          <w:rFonts w:hint="default" w:ascii="Times New Roman" w:hAnsi="Times New Roman" w:eastAsia="楷体" w:cs="Times New Roman"/>
          <w:b/>
          <w:bCs/>
          <w:color w:val="auto"/>
          <w:sz w:val="32"/>
          <w:szCs w:val="32"/>
          <w:highlight w:val="none"/>
          <w:lang w:val="en-US" w:eastAsia="zh-CN"/>
        </w:rPr>
        <w:t>（五）</w:t>
      </w:r>
      <w:bookmarkEnd w:id="65"/>
      <w:bookmarkStart w:id="83" w:name="_Toc437380315"/>
      <w:bookmarkStart w:id="84" w:name="_Toc22561"/>
      <w:r>
        <w:rPr>
          <w:rFonts w:hint="default" w:ascii="Times New Roman" w:hAnsi="Times New Roman" w:eastAsia="楷体" w:cs="Times New Roman"/>
          <w:b/>
          <w:bCs/>
          <w:color w:val="auto"/>
          <w:sz w:val="32"/>
          <w:szCs w:val="32"/>
          <w:highlight w:val="none"/>
          <w:lang w:val="en-US" w:eastAsia="zh-CN"/>
        </w:rPr>
        <w:t>凝心聚力，扎实推进科研工作</w:t>
      </w:r>
      <w:bookmarkEnd w:id="82"/>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落实主体责任，重点推</w:t>
      </w:r>
      <w:r>
        <w:rPr>
          <w:rFonts w:hint="eastAsia" w:ascii="仿宋" w:hAnsi="仿宋" w:eastAsia="仿宋" w:cs="仿宋"/>
          <w:b w:val="0"/>
          <w:bCs w:val="0"/>
          <w:color w:val="000000"/>
          <w:sz w:val="32"/>
          <w:szCs w:val="32"/>
          <w:lang w:val="en-US" w:eastAsia="zh-CN"/>
        </w:rPr>
        <w:t>进高层次科研项目立项工作。一</w:t>
      </w:r>
      <w:r>
        <w:rPr>
          <w:rFonts w:hint="eastAsia" w:ascii="仿宋" w:hAnsi="仿宋" w:eastAsia="仿宋" w:cs="仿宋"/>
          <w:color w:val="000000"/>
          <w:sz w:val="32"/>
          <w:szCs w:val="32"/>
        </w:rPr>
        <w:t>方面充分发挥学术委员会作用，加强学术论证，严把“申报质量关”；另一方面加强与上级科研主管部门的沟通交流，及时掌握各级各类项目申报政策，拓宽项目申报渠道。</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2021年教职工发表学术论文89篇，其中SCI/EI/CSSCI 2篇、中文核心期刊6篇；获得自治区级QC成果1项、专利授权78件，参编地方性标准4项，其中已公开发布的1项，技术服务能力进一步增强。学校共组织了17个批次厅级以上科研项目申报，厅级以上科研项目立项56项，其中国家级科研项目1项，省部级科研项目2项，各级各类立项项目资助经费为135.9万元，相对2020年增长13.16%，教职工</w:t>
      </w:r>
      <w:r>
        <w:rPr>
          <w:rFonts w:hint="eastAsia" w:ascii="仿宋" w:hAnsi="仿宋" w:eastAsia="仿宋" w:cs="仿宋"/>
          <w:color w:val="000000"/>
          <w:sz w:val="32"/>
          <w:szCs w:val="32"/>
          <w:lang w:val="en-US" w:eastAsia="zh-CN"/>
        </w:rPr>
        <w:t>申报科研项目的积极性和主动性得到稳步提升。</w:t>
      </w:r>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黑体" w:cs="Times New Roman"/>
          <w:b/>
          <w:bCs/>
          <w:color w:val="auto"/>
          <w:sz w:val="32"/>
          <w:szCs w:val="32"/>
          <w:highlight w:val="none"/>
          <w:lang w:val="en-US" w:eastAsia="zh-CN"/>
        </w:rPr>
      </w:pPr>
      <w:bookmarkStart w:id="85" w:name="_Toc3089"/>
      <w:r>
        <w:rPr>
          <w:rFonts w:hint="default" w:ascii="Times New Roman" w:hAnsi="Times New Roman" w:eastAsia="黑体" w:cs="Times New Roman"/>
          <w:b/>
          <w:bCs/>
          <w:color w:val="auto"/>
          <w:sz w:val="32"/>
          <w:szCs w:val="32"/>
          <w:highlight w:val="none"/>
          <w:lang w:val="en-US" w:eastAsia="zh-CN"/>
        </w:rPr>
        <w:t>四、政策保障</w:t>
      </w:r>
      <w:bookmarkEnd w:id="83"/>
      <w:bookmarkEnd w:id="84"/>
      <w:bookmarkEnd w:id="85"/>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86" w:name="_Toc1631"/>
      <w:bookmarkStart w:id="87" w:name="_Toc23554"/>
      <w:bookmarkStart w:id="88" w:name="_Toc437380316"/>
      <w:r>
        <w:rPr>
          <w:rFonts w:hint="default" w:ascii="Times New Roman" w:hAnsi="Times New Roman" w:eastAsia="楷体" w:cs="Times New Roman"/>
          <w:b/>
          <w:bCs/>
          <w:color w:val="auto"/>
          <w:sz w:val="32"/>
          <w:szCs w:val="32"/>
          <w:highlight w:val="none"/>
          <w:lang w:val="en-US" w:eastAsia="zh-CN"/>
        </w:rPr>
        <w:t>（一）党建引领</w:t>
      </w:r>
      <w:bookmarkEnd w:id="86"/>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实施“五大行动计划”，为学校“双高”建设跨越发展提供坚强政治保证和组织保证。</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89" w:name="_Toc4070"/>
      <w:r>
        <w:rPr>
          <w:rFonts w:hint="eastAsia" w:ascii="仿宋" w:hAnsi="仿宋" w:eastAsia="仿宋" w:cs="仿宋"/>
          <w:b/>
          <w:bCs/>
          <w:color w:val="000000"/>
          <w:sz w:val="32"/>
          <w:szCs w:val="32"/>
          <w:lang w:val="en-US" w:eastAsia="zh-CN"/>
        </w:rPr>
        <w:t>1.实施“党的领导力全面提升行动计划”，落实党委领导下的校长负责制，推进议事决策制度全覆盖无“盲区”</w:t>
      </w:r>
      <w:bookmarkEnd w:id="89"/>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加强党建工作顶层设计，充分发挥学校党委统揽全局的领导力，深入落实党委领导下的校长负责制。面向学院发展新形势新任务，深入推进了党支部达标创优、组织生活质量提升行动工作。健全坚持和加强党的全面领导的组织体系、制度体系、工作体系，完善党委会决策跟踪落实机制，进一步强化了党委会和院长办公会的职能。充分发挥党组织在学校的领导核心和政治核心作用，修订完善了学校《系（院、部）党政联席会议议事规则》《系（院、部）党总支委员会议议事规则》。开展了2次党建工作专题调研，不断压实党建工作职责。</w:t>
      </w:r>
      <w:r>
        <w:rPr>
          <w:rFonts w:hint="eastAsia" w:ascii="仿宋" w:hAnsi="仿宋" w:eastAsia="仿宋" w:cs="仿宋"/>
          <w:color w:val="000000"/>
          <w:sz w:val="32"/>
          <w:szCs w:val="32"/>
          <w:lang w:eastAsia="zh-CN"/>
        </w:rPr>
        <w:t>制定了《</w:t>
      </w:r>
      <w:r>
        <w:rPr>
          <w:rFonts w:hint="eastAsia" w:ascii="仿宋" w:hAnsi="仿宋" w:eastAsia="仿宋" w:cs="仿宋"/>
          <w:color w:val="000000"/>
          <w:kern w:val="2"/>
          <w:sz w:val="32"/>
          <w:szCs w:val="32"/>
          <w:lang w:val="en-US" w:eastAsia="zh-CN" w:bidi="ar"/>
        </w:rPr>
        <w:t>迎接建党100周年行动方案</w:t>
      </w:r>
      <w:r>
        <w:rPr>
          <w:rFonts w:hint="eastAsia" w:ascii="仿宋" w:hAnsi="仿宋" w:eastAsia="仿宋" w:cs="仿宋"/>
          <w:vanish w:val="0"/>
          <w:color w:val="000000"/>
          <w:kern w:val="2"/>
          <w:sz w:val="32"/>
          <w:szCs w:val="32"/>
          <w:lang w:val="en-US" w:eastAsia="zh-CN" w:bidi="ar"/>
        </w:rPr>
        <mc:AlternateContent>
          <mc:Choice Requires="wps">
            <w:drawing>
              <wp:anchor distT="0" distB="0" distL="114300" distR="114300" simplePos="0" relativeHeight="251659264" behindDoc="0" locked="1" layoutInCell="0" allowOverlap="1">
                <wp:simplePos x="0" y="0"/>
                <wp:positionH relativeFrom="column">
                  <wp:posOffset>0</wp:posOffset>
                </wp:positionH>
                <wp:positionV relativeFrom="paragraph">
                  <wp:posOffset>0</wp:posOffset>
                </wp:positionV>
                <wp:extent cx="635" cy="0"/>
                <wp:effectExtent l="0" t="0" r="0" b="0"/>
                <wp:wrapNone/>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txbxContent>
                      </wps:txbx>
                      <wps:bodyPr upright="1"/>
                    </wps:wsp>
                  </a:graphicData>
                </a:graphic>
              </wp:anchor>
            </w:drawing>
          </mc:Choice>
          <mc:Fallback>
            <w:pict>
              <v:rect id="_x0000_s1026" o:spid="_x0000_s1026" o:spt="1" style="position:absolute;left:0pt;margin-left:0pt;margin-top:0pt;height:0pt;width:0.05pt;z-index:251659264;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4cJf3PAAAA/wAAAA8A&#10;AAAAAAAAAQAgAAAAIgAAAGRycy9kb3ducmV2LnhtbFBLAQIUABQAAAAIAIdO4kCl1m92rgEAAGQD&#10;AAAOAAAAAAAAAAEAIAAAAB4BAABkcnMvZTJvRG9jLnhtbFBLBQYAAAAABgAGAFkBAAA+BQAAAAA=&#10;">
                <v:fill on="f" focussize="0,0"/>
                <v:stroke on="f"/>
                <v:imagedata o:title=""/>
                <o:lock v:ext="edit" aspectratio="t"/>
                <v:textbox>
                  <w:txbxContent>
                    <w:p/>
                  </w:txbxContent>
                </v:textbox>
                <w10:anchorlock/>
              </v:rect>
            </w:pict>
          </mc:Fallback>
        </mc:AlternateContent>
      </w:r>
      <w:r>
        <w:rPr>
          <w:rFonts w:hint="eastAsia" w:ascii="仿宋" w:hAnsi="仿宋" w:eastAsia="仿宋" w:cs="仿宋"/>
          <w:color w:val="000000"/>
          <w:kern w:val="2"/>
          <w:sz w:val="32"/>
          <w:szCs w:val="32"/>
          <w:lang w:val="en-US" w:eastAsia="zh-CN" w:bidi="ar"/>
        </w:rPr>
        <w:t>》，积极开展了“建党百年行动”。坚持党的教育方针，</w:t>
      </w:r>
      <w:r>
        <w:rPr>
          <w:rFonts w:hint="eastAsia" w:ascii="仿宋" w:hAnsi="仿宋" w:eastAsia="仿宋" w:cs="仿宋"/>
          <w:color w:val="000000"/>
          <w:sz w:val="32"/>
          <w:szCs w:val="32"/>
          <w:lang w:val="en-US" w:eastAsia="zh-CN"/>
        </w:rPr>
        <w:t>确保学校各项事业始终沿着正确的方向前进。</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90" w:name="_Toc9585"/>
      <w:r>
        <w:rPr>
          <w:rFonts w:hint="eastAsia" w:ascii="仿宋" w:hAnsi="仿宋" w:eastAsia="仿宋" w:cs="仿宋"/>
          <w:b/>
          <w:bCs/>
          <w:color w:val="000000"/>
          <w:sz w:val="32"/>
          <w:szCs w:val="32"/>
          <w:lang w:val="en-US" w:eastAsia="zh-CN"/>
        </w:rPr>
        <w:t>2.实施“意识形态工作强化行动计划”，加强意识形态阵地管理，推进校园融媒体建设</w:t>
      </w:r>
      <w:bookmarkEnd w:id="90"/>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全面强化意识形态工作，牢牢把握学校意识形态工作领导权。全面落实意识形态工作责任制，出台了学校《落实意识形态工作责任实施细则》</w:t>
      </w:r>
      <w:r>
        <w:rPr>
          <w:rFonts w:hint="eastAsia" w:ascii="仿宋" w:hAnsi="仿宋" w:eastAsia="仿宋" w:cs="仿宋"/>
          <w:color w:val="000000"/>
          <w:sz w:val="32"/>
          <w:szCs w:val="32"/>
        </w:rPr>
        <w:t>《意识形态工作责任考核与奖惩办法》</w:t>
      </w:r>
      <w:r>
        <w:rPr>
          <w:rFonts w:hint="eastAsia" w:ascii="仿宋" w:hAnsi="仿宋" w:eastAsia="仿宋" w:cs="仿宋"/>
          <w:color w:val="000000"/>
          <w:sz w:val="32"/>
          <w:szCs w:val="32"/>
          <w:lang w:eastAsia="zh-CN"/>
        </w:rPr>
        <w:t>《意识形态分析研判情况通报制度》</w:t>
      </w:r>
      <w:r>
        <w:rPr>
          <w:rFonts w:hint="eastAsia" w:ascii="仿宋" w:hAnsi="仿宋" w:eastAsia="仿宋" w:cs="仿宋"/>
          <w:color w:val="000000"/>
          <w:sz w:val="32"/>
          <w:szCs w:val="32"/>
        </w:rPr>
        <w:t>《校内宣传媒体管理规定》《教职工政治理论学习制度》《网络舆情管理办法》《师生自媒体自律守则》《网络评论员管理办法》《网络监督员管理办法》《通讯员管理制度》《外聘兼职教师管理办法（修订）》《外籍教师管理规定》《新时代高等学校思想政治理论课教师队伍建设规定实施办法》《教学管理工作规范》</w:t>
      </w:r>
      <w:r>
        <w:rPr>
          <w:rFonts w:hint="eastAsia" w:ascii="仿宋" w:hAnsi="仿宋" w:eastAsia="仿宋" w:cs="仿宋"/>
          <w:color w:val="000000"/>
          <w:sz w:val="32"/>
          <w:szCs w:val="32"/>
          <w:lang w:eastAsia="zh-CN"/>
        </w:rPr>
        <w:t>，进一步</w:t>
      </w:r>
      <w:r>
        <w:rPr>
          <w:rFonts w:hint="eastAsia" w:ascii="仿宋" w:hAnsi="仿宋" w:eastAsia="仿宋" w:cs="仿宋"/>
          <w:color w:val="000000"/>
          <w:sz w:val="32"/>
          <w:szCs w:val="32"/>
          <w:lang w:val="en-US" w:eastAsia="zh-CN"/>
        </w:rPr>
        <w:t>完善了意识形态管理工作制度。全面推行学校意识形态工作考核评价体系。加强校园网络舆情监控机制建设，购买了网络舆情监控服务，建成学校网络舆情监控平台，健全校园网络综合治理体系。加强阵地建设，针对教学科研载体、文化活动阵地、各类校园媒体，全面整合校园广播、LED屏、报刊、官网、微信、微博、宣传栏等媒体阵地，深入推进了“学校融媒体中心”建设工作，打造“资源通融、内容兼融、宣传互融、利益共融”的校园新型媒体，健全强化意识形态阵地定期排查机制。进一步加强了对学生会和学生社团的引导和管理。强化意识形态形势定期分析研判，做好重大时间节点的舆情引导监管工作。强化理想信念教育和社会主义核心价值观教育，引导学校广大师生牢固树立“四个意识”、坚定“四个自信”、坚决做到“两个维护”。</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91" w:name="_Toc15392"/>
      <w:r>
        <w:rPr>
          <w:rFonts w:hint="eastAsia" w:ascii="仿宋" w:hAnsi="仿宋" w:eastAsia="仿宋" w:cs="仿宋"/>
          <w:b/>
          <w:bCs/>
          <w:color w:val="000000"/>
          <w:sz w:val="32"/>
          <w:szCs w:val="32"/>
          <w:lang w:val="en-US" w:eastAsia="zh-CN"/>
        </w:rPr>
        <w:t>3.实施“‘三进’行动计划”，建设高水平马克思主义学院，大力培育“鲁班精神”</w:t>
      </w:r>
      <w:bookmarkEnd w:id="91"/>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加强教材建设。出版了1本专著《新时代绿色发展理念的理论基础与实践探索》，</w:t>
      </w:r>
      <w:r>
        <w:rPr>
          <w:rFonts w:hint="eastAsia" w:ascii="仿宋" w:hAnsi="仿宋" w:eastAsia="仿宋" w:cs="仿宋"/>
          <w:color w:val="000000"/>
          <w:sz w:val="32"/>
          <w:szCs w:val="32"/>
        </w:rPr>
        <w:t>出版了2部校本教材《形势与政策》2021年版和《毛泽东思想和中国特色社会主义理论体系概论学习辅导和教学参考》，编印了党史学习资料《中国共产党的精神谱系汇编》，编印了学校公共选修课《习近平新时代中国特色社会主义思想概论》一系列立体化教材（包括教学指南、教学讲义、课件、微课、教案等），将习近平新时代中国特色社会主义思想最新理论成果，动态融入所有思政课程和专业课程。</w:t>
      </w:r>
    </w:p>
    <w:p>
      <w:pPr>
        <w:pageBreakBefore w:val="0"/>
        <w:widowControl/>
        <w:kinsoku/>
        <w:wordWrap/>
        <w:overflowPunct/>
        <w:topLinePunct w:val="0"/>
        <w:autoSpaceDE/>
        <w:autoSpaceDN/>
        <w:bidi w:val="0"/>
        <w:snapToGrid/>
        <w:spacing w:beforeLines="-2147483648" w:afterLines="-2147483648" w:line="560" w:lineRule="exact"/>
        <w:ind w:left="0" w:leftChars="0" w:right="0" w:rightChars="0" w:firstLine="6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加强课堂建设。融合创新，增强思政课的思想性、理论性以及亲和力、针对性，发挥思政课的主渠道作用。重点围绕《毛泽东思想和中国特色社会主义理论体系概论》这门课建设慕课资源，目前正在录制本课程的微视频。同时做好思想政治理论课示范课建设，《形势与政策》入选广西教育厅习近平新时代中国特色社会主义思想示范课堂。开设了《党史》《新中国史》《改革开放史》《社会主义发展史》《鲁班精神》等公共选修课。全面开展课程思政，健全落实全校专业课程思政要素的挖掘提炼工作机制，将习总书记的新思想有机融进专业课教学中。建设高水平马克思主义学院，创新思政教学方法，使习近平新时代中国特色社会主义思想教学活起来。</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结合行业和社会发展，结合乡村振兴，开展</w:t>
      </w:r>
      <w:r>
        <w:rPr>
          <w:rFonts w:hint="eastAsia" w:ascii="仿宋" w:hAnsi="仿宋" w:eastAsia="仿宋" w:cs="仿宋"/>
          <w:color w:val="000000"/>
          <w:sz w:val="32"/>
          <w:szCs w:val="32"/>
          <w:lang w:val="en-US" w:eastAsia="zh-CN"/>
        </w:rPr>
        <w:t>了</w:t>
      </w:r>
      <w:r>
        <w:rPr>
          <w:rFonts w:hint="eastAsia" w:ascii="仿宋" w:hAnsi="仿宋" w:eastAsia="仿宋" w:cs="仿宋"/>
          <w:color w:val="000000"/>
          <w:sz w:val="32"/>
          <w:szCs w:val="32"/>
        </w:rPr>
        <w:t>丰富多彩的系列主题教育实践活动，如带领学生参加大学生暑期“三下乡”活动，培养学生的社会责任感；组织学生赴东兰韦拔群纪念馆、桂林湘江战役纪念馆、都安自成村、南宁三江坡等地方开展实践主题教育活动，充分利用广西丰富的红色文化资源，深入挖掘其蕴含的教育价值；特色开设3期“青马学堂”；开展“校外思政课”协同育人实践活动；举办学校以及广西思政课结对共建五校大学生讲思政课比赛。录制的大学生微电影作品获得广西高校大学生领航计划一等奖。举办主题征文、演讲比赛，引领青年学生进一步坚定跟党走中国特色社会主义道路的信念，使习近平新时代中国特色社会</w:t>
      </w:r>
      <w:r>
        <w:rPr>
          <w:rFonts w:hint="eastAsia" w:ascii="仿宋" w:hAnsi="仿宋" w:eastAsia="仿宋" w:cs="仿宋"/>
          <w:color w:val="000000"/>
          <w:sz w:val="32"/>
          <w:szCs w:val="32"/>
          <w:lang w:val="en-US" w:eastAsia="zh-CN"/>
        </w:rPr>
        <w:t>主义思想在大学生中落地生根，入脑入心，内化于心，外化于行。</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92" w:name="_Toc26896"/>
      <w:r>
        <w:rPr>
          <w:rFonts w:hint="eastAsia" w:ascii="仿宋" w:hAnsi="仿宋" w:eastAsia="仿宋" w:cs="仿宋"/>
          <w:b/>
          <w:bCs/>
          <w:color w:val="000000"/>
          <w:sz w:val="32"/>
          <w:szCs w:val="32"/>
          <w:lang w:val="en-US" w:eastAsia="zh-CN"/>
        </w:rPr>
        <w:t>4.实施“‘三全育人’推进行动计划”，健全“三级联动机制”，建设“三全育人”试点院系</w:t>
      </w:r>
      <w:bookmarkEnd w:id="92"/>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val="0"/>
          <w:bCs w:val="0"/>
          <w:color w:val="000000"/>
          <w:sz w:val="32"/>
          <w:szCs w:val="32"/>
          <w:lang w:eastAsia="zh-CN"/>
        </w:rPr>
      </w:pPr>
      <w:r>
        <w:rPr>
          <w:rFonts w:hint="eastAsia" w:ascii="仿宋" w:hAnsi="仿宋" w:eastAsia="仿宋" w:cs="仿宋"/>
          <w:color w:val="000000"/>
          <w:sz w:val="32"/>
          <w:szCs w:val="32"/>
          <w:lang w:val="en-US" w:eastAsia="zh-CN"/>
        </w:rPr>
        <w:t>全面实施《高校思想政治工作质量提升工程实施纲要》，大力提升我校思想政治工作质量，</w:t>
      </w:r>
      <w:r>
        <w:rPr>
          <w:rFonts w:hint="eastAsia" w:ascii="仿宋" w:hAnsi="仿宋" w:eastAsia="仿宋" w:cs="仿宋"/>
          <w:b w:val="0"/>
          <w:bCs w:val="0"/>
          <w:color w:val="000000"/>
          <w:sz w:val="32"/>
          <w:szCs w:val="32"/>
          <w:lang w:eastAsia="zh-CN"/>
        </w:rPr>
        <w:t>出台</w:t>
      </w:r>
      <w:r>
        <w:rPr>
          <w:rFonts w:hint="eastAsia" w:ascii="仿宋" w:hAnsi="仿宋" w:eastAsia="仿宋" w:cs="仿宋"/>
          <w:b w:val="0"/>
          <w:bCs w:val="0"/>
          <w:color w:val="000000"/>
          <w:sz w:val="32"/>
          <w:szCs w:val="32"/>
          <w:lang w:val="en-US" w:eastAsia="zh-CN"/>
        </w:rPr>
        <w:t>了</w:t>
      </w:r>
      <w:r>
        <w:rPr>
          <w:rFonts w:hint="eastAsia" w:ascii="仿宋" w:hAnsi="仿宋" w:eastAsia="仿宋" w:cs="仿宋"/>
          <w:b w:val="0"/>
          <w:bCs w:val="0"/>
          <w:color w:val="000000"/>
          <w:sz w:val="32"/>
          <w:szCs w:val="32"/>
          <w:lang w:eastAsia="zh-CN"/>
        </w:rPr>
        <w:t>《广西建设职业技术学院全面推进“三全育人”综合改革工作实施方案》。结合学校“双高”建设工作</w:t>
      </w:r>
      <w:r>
        <w:rPr>
          <w:rFonts w:hint="eastAsia" w:ascii="仿宋" w:hAnsi="仿宋" w:eastAsia="仿宋" w:cs="仿宋"/>
          <w:b w:val="0"/>
          <w:bCs w:val="0"/>
          <w:color w:val="000000"/>
          <w:sz w:val="32"/>
          <w:szCs w:val="32"/>
        </w:rPr>
        <w:t>实施“三全育人”推进行动计划</w:t>
      </w:r>
      <w:r>
        <w:rPr>
          <w:rFonts w:hint="eastAsia" w:ascii="仿宋" w:hAnsi="仿宋" w:eastAsia="仿宋" w:cs="仿宋"/>
          <w:b w:val="0"/>
          <w:bCs w:val="0"/>
          <w:color w:val="000000"/>
          <w:sz w:val="32"/>
          <w:szCs w:val="32"/>
          <w:lang w:eastAsia="zh-CN"/>
        </w:rPr>
        <w:t>，培育</w:t>
      </w:r>
      <w:r>
        <w:rPr>
          <w:rFonts w:hint="eastAsia" w:ascii="仿宋" w:hAnsi="仿宋" w:eastAsia="仿宋" w:cs="仿宋"/>
          <w:b w:val="0"/>
          <w:bCs w:val="0"/>
          <w:color w:val="000000"/>
          <w:sz w:val="32"/>
          <w:szCs w:val="32"/>
          <w:lang w:val="en-US" w:eastAsia="zh-CN"/>
        </w:rPr>
        <w:t>2个校级</w:t>
      </w:r>
      <w:r>
        <w:rPr>
          <w:rFonts w:hint="eastAsia" w:ascii="仿宋" w:hAnsi="仿宋" w:eastAsia="仿宋" w:cs="仿宋"/>
          <w:b w:val="0"/>
          <w:bCs w:val="0"/>
          <w:color w:val="000000"/>
          <w:sz w:val="32"/>
          <w:szCs w:val="32"/>
          <w:lang w:eastAsia="zh-CN"/>
        </w:rPr>
        <w:t>“三全育人”示范院系，</w:t>
      </w:r>
      <w:r>
        <w:rPr>
          <w:rFonts w:hint="eastAsia" w:ascii="仿宋" w:hAnsi="仿宋" w:eastAsia="仿宋" w:cs="仿宋"/>
          <w:b w:val="0"/>
          <w:bCs w:val="0"/>
          <w:color w:val="000000"/>
          <w:sz w:val="32"/>
          <w:szCs w:val="32"/>
          <w:lang w:val="en-US" w:eastAsia="zh-CN"/>
        </w:rPr>
        <w:t>5个校级“</w:t>
      </w:r>
      <w:r>
        <w:rPr>
          <w:rFonts w:hint="eastAsia" w:ascii="仿宋" w:hAnsi="仿宋" w:eastAsia="仿宋" w:cs="仿宋"/>
          <w:b w:val="0"/>
          <w:bCs w:val="0"/>
          <w:color w:val="000000"/>
          <w:sz w:val="32"/>
          <w:szCs w:val="32"/>
          <w:lang w:eastAsia="zh-CN"/>
        </w:rPr>
        <w:t>三全育人”精品项目，开展了思政治论文评比活动。</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sz w:val="32"/>
          <w:szCs w:val="32"/>
          <w:lang w:eastAsia="zh-CN"/>
        </w:rPr>
        <w:t>目前已培育建设</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个“三全育人”示范院系，</w:t>
      </w:r>
      <w:r>
        <w:rPr>
          <w:rFonts w:hint="eastAsia" w:ascii="仿宋" w:hAnsi="仿宋" w:eastAsia="仿宋" w:cs="仿宋"/>
          <w:color w:val="000000"/>
          <w:sz w:val="32"/>
          <w:szCs w:val="32"/>
          <w:lang w:val="en-US" w:eastAsia="zh-CN"/>
        </w:rPr>
        <w:t>打造了</w:t>
      </w:r>
      <w:r>
        <w:rPr>
          <w:rFonts w:hint="eastAsia" w:ascii="仿宋" w:hAnsi="仿宋" w:eastAsia="仿宋" w:cs="仿宋"/>
          <w:color w:val="000000"/>
          <w:sz w:val="32"/>
          <w:szCs w:val="32"/>
          <w:lang w:eastAsia="zh-CN"/>
        </w:rPr>
        <w:t>《5G智慧校园背景下的思政实践课改革——以微电影为载体》《依托“弘德育才”学堂，打造文化育人第二课堂》《“网络+课堂+实践”大学英语课程思政教育质量提升的探索与实践》《行校企”三维引擎，树实践育人品牌，打造广西高职院校立德树人新高地》《建筑类高职院校文化育人载体探索和研究—打造建筑文化节开拓育人新载体》等</w:t>
      </w:r>
      <w:r>
        <w:rPr>
          <w:rFonts w:hint="eastAsia" w:ascii="仿宋" w:hAnsi="仿宋" w:eastAsia="仿宋" w:cs="仿宋"/>
          <w:color w:val="000000"/>
          <w:sz w:val="32"/>
          <w:szCs w:val="32"/>
          <w:lang w:val="en-US" w:eastAsia="zh-CN"/>
        </w:rPr>
        <w:t>5个示范精品项目。评选出一批反映我校思想政治教育工作探索与实践的论文。其中2个示范院系都取得了一定的教育教学成果，发表有多篇“三全育人”相关理论文章，建设培养一批实践育人活动团队和创新创业团队，将“三全育人”工作结合自身实际情况形成了各自的育人体系。5个示范精品项目培育出</w:t>
      </w:r>
      <w:r>
        <w:rPr>
          <w:rFonts w:hint="eastAsia" w:ascii="仿宋" w:hAnsi="仿宋" w:eastAsia="仿宋" w:cs="仿宋"/>
          <w:color w:val="000000"/>
          <w:sz w:val="32"/>
          <w:szCs w:val="32"/>
          <w:lang w:eastAsia="zh-CN"/>
        </w:rPr>
        <w:t>“弘德育才”学堂、建筑文化节</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个校园文化品牌活动，探索出“网络+课堂+实践”的大学英语课“课程思政”示范课</w:t>
      </w:r>
      <w:r>
        <w:rPr>
          <w:rFonts w:hint="eastAsia" w:ascii="仿宋" w:hAnsi="仿宋" w:eastAsia="仿宋" w:cs="仿宋"/>
          <w:color w:val="000000"/>
          <w:sz w:val="32"/>
          <w:szCs w:val="32"/>
          <w:lang w:val="en-US" w:eastAsia="zh-CN"/>
        </w:rPr>
        <w:t>建设经验，建设了以“微电影”为载体的思政课实践教学体系，培养了一批实践育人品牌项目。</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93" w:name="_Toc27258"/>
      <w:r>
        <w:rPr>
          <w:rFonts w:hint="eastAsia" w:ascii="仿宋" w:hAnsi="仿宋" w:eastAsia="仿宋" w:cs="仿宋"/>
          <w:b/>
          <w:bCs/>
          <w:color w:val="000000"/>
          <w:sz w:val="32"/>
          <w:szCs w:val="32"/>
          <w:lang w:val="en-US" w:eastAsia="zh-CN"/>
        </w:rPr>
        <w:t>5.实施“基层党建创新行动计划”，创建全国高校党建工作标杆院系和党建工作样板支部</w:t>
      </w:r>
      <w:bookmarkEnd w:id="93"/>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加强基层组织建设，深入实施党组织“对标争先”计划，积极推进了我校1个全国高</w:t>
      </w:r>
      <w:r>
        <w:rPr>
          <w:rFonts w:hint="eastAsia" w:ascii="仿宋" w:hAnsi="仿宋" w:eastAsia="仿宋" w:cs="仿宋"/>
          <w:bCs w:val="0"/>
          <w:color w:val="000000"/>
          <w:sz w:val="32"/>
          <w:szCs w:val="32"/>
        </w:rPr>
        <w:t>校党建工作标杆院系、1个全国高校党建工作样板支部的培育创建工作，发挥示范带头作用。指导督促基层党组织积极</w:t>
      </w:r>
      <w:r>
        <w:rPr>
          <w:rFonts w:hint="eastAsia" w:ascii="仿宋" w:hAnsi="仿宋" w:eastAsia="仿宋" w:cs="仿宋"/>
          <w:color w:val="000000"/>
          <w:sz w:val="32"/>
          <w:szCs w:val="32"/>
        </w:rPr>
        <w:t>申报首批新时代广西</w:t>
      </w:r>
      <w:r>
        <w:rPr>
          <w:rFonts w:hint="eastAsia" w:ascii="仿宋" w:hAnsi="仿宋" w:eastAsia="仿宋" w:cs="仿宋"/>
          <w:color w:val="000000"/>
          <w:sz w:val="32"/>
          <w:szCs w:val="32"/>
          <w:lang w:eastAsia="zh-CN"/>
        </w:rPr>
        <w:t>高校</w:t>
      </w:r>
      <w:r>
        <w:rPr>
          <w:rFonts w:hint="eastAsia" w:ascii="仿宋" w:hAnsi="仿宋" w:eastAsia="仿宋" w:cs="仿宋"/>
          <w:color w:val="000000"/>
          <w:sz w:val="32"/>
          <w:szCs w:val="32"/>
        </w:rPr>
        <w:t>党建工作标杆院系、样板支部，</w:t>
      </w:r>
      <w:r>
        <w:rPr>
          <w:rFonts w:hint="eastAsia" w:ascii="仿宋" w:hAnsi="仿宋" w:eastAsia="仿宋" w:cs="仿宋"/>
          <w:color w:val="000000"/>
          <w:sz w:val="32"/>
          <w:szCs w:val="32"/>
          <w:lang w:val="en-US" w:eastAsia="zh-CN"/>
        </w:rPr>
        <w:t>1个院系、1个</w:t>
      </w:r>
      <w:r>
        <w:rPr>
          <w:rFonts w:hint="eastAsia" w:ascii="仿宋" w:hAnsi="仿宋" w:eastAsia="仿宋" w:cs="仿宋"/>
          <w:color w:val="000000"/>
          <w:sz w:val="32"/>
          <w:szCs w:val="32"/>
        </w:rPr>
        <w:t>党支部分别入选</w:t>
      </w:r>
      <w:r>
        <w:rPr>
          <w:rFonts w:hint="eastAsia" w:ascii="仿宋" w:hAnsi="仿宋" w:eastAsia="仿宋" w:cs="仿宋"/>
          <w:color w:val="000000"/>
          <w:sz w:val="32"/>
          <w:szCs w:val="32"/>
          <w:lang w:eastAsia="zh-CN"/>
        </w:rPr>
        <w:t>广西</w:t>
      </w:r>
      <w:r>
        <w:rPr>
          <w:rFonts w:hint="eastAsia" w:ascii="仿宋" w:hAnsi="仿宋" w:eastAsia="仿宋" w:cs="仿宋"/>
          <w:color w:val="000000"/>
          <w:sz w:val="32"/>
          <w:szCs w:val="32"/>
        </w:rPr>
        <w:t>高校党建工作标杆院系、样板支部培育创建单位，并被自治区党委教育工委推荐申报第三批全国党建工作标杆院系、样板支部。</w:t>
      </w:r>
      <w:r>
        <w:rPr>
          <w:rFonts w:hint="eastAsia" w:ascii="仿宋" w:hAnsi="仿宋" w:eastAsia="仿宋" w:cs="仿宋"/>
          <w:color w:val="000000"/>
          <w:sz w:val="32"/>
          <w:szCs w:val="32"/>
          <w:lang w:val="en-US" w:eastAsia="zh-CN"/>
        </w:rPr>
        <w:t>1个党支部书记工作室</w:t>
      </w:r>
      <w:r>
        <w:rPr>
          <w:rFonts w:hint="eastAsia" w:ascii="仿宋" w:hAnsi="仿宋" w:eastAsia="仿宋" w:cs="仿宋"/>
          <w:color w:val="000000"/>
          <w:sz w:val="32"/>
          <w:szCs w:val="32"/>
        </w:rPr>
        <w:t>入选广西高校“双带头人”教师党支部书记工作室培育创建单位。</w:t>
      </w:r>
      <w:r>
        <w:rPr>
          <w:rFonts w:hint="eastAsia" w:ascii="仿宋" w:hAnsi="仿宋" w:eastAsia="仿宋" w:cs="仿宋"/>
          <w:bCs w:val="0"/>
          <w:color w:val="000000"/>
          <w:sz w:val="32"/>
          <w:szCs w:val="32"/>
        </w:rPr>
        <w:t>大力推进党建进宿舍工作，推进7个学生公寓党建工作室建设，创新党建品牌。</w:t>
      </w:r>
    </w:p>
    <w:p>
      <w:pPr>
        <w:pageBreakBefore w:val="0"/>
        <w:widowControl/>
        <w:numPr>
          <w:ilvl w:val="-1"/>
          <w:numId w:val="0"/>
        </w:numPr>
        <w:kinsoku/>
        <w:wordWrap/>
        <w:overflowPunct/>
        <w:topLinePunct w:val="0"/>
        <w:autoSpaceDE/>
        <w:autoSpaceDN/>
        <w:bidi w:val="0"/>
        <w:snapToGrid/>
        <w:spacing w:beforeLines="-2147483648" w:afterLines="-2147483648" w:line="560" w:lineRule="exact"/>
        <w:ind w:left="0" w:leftChars="0" w:right="0" w:rightChars="0" w:firstLine="600" w:firstLineChars="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建成了1个</w:t>
      </w:r>
      <w:r>
        <w:rPr>
          <w:rFonts w:hint="eastAsia" w:ascii="仿宋" w:hAnsi="仿宋" w:eastAsia="仿宋" w:cs="仿宋"/>
          <w:color w:val="000000"/>
          <w:sz w:val="32"/>
          <w:szCs w:val="32"/>
        </w:rPr>
        <w:t>集VR沉浸式体验、虚拟仿真教学、陈列式党员教育、师生思政教育等功能于一体的智慧党建思政教育基地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完成了</w:t>
      </w:r>
      <w:r>
        <w:rPr>
          <w:rFonts w:hint="eastAsia" w:ascii="仿宋" w:hAnsi="仿宋" w:eastAsia="仿宋" w:cs="仿宋"/>
          <w:color w:val="000000"/>
          <w:sz w:val="32"/>
          <w:szCs w:val="32"/>
          <w:lang w:eastAsia="zh-CN"/>
        </w:rPr>
        <w:t>“智慧党建平台”建设工作</w:t>
      </w:r>
      <w:r>
        <w:rPr>
          <w:rFonts w:hint="eastAsia" w:ascii="仿宋" w:hAnsi="仿宋" w:eastAsia="仿宋" w:cs="仿宋"/>
          <w:color w:val="000000"/>
          <w:sz w:val="32"/>
          <w:szCs w:val="32"/>
          <w:lang w:val="en-US" w:eastAsia="zh-CN"/>
        </w:rPr>
        <w:t>，对各基层党务工作者进行了“智慧党建平台”专题培训，进一步提高了党建工作信息化水平。</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深入实施教师党支部书记“双带头人”培育工程，实现了“双带头人”教师党支部书记全覆盖，充分发挥“双带头人”在党建工作及业务工作中的重要作用。实施“党务工作者队伍建设工程”，建强专业党务工作队伍，推进基层党组织标准化规范化建设。举行了党务工作人员培训班，有效提升党务工作者党建工作水平。落实了全校兼职党务工作者的党建工作绩效工资，按照每人每月200元标准发放，强化激励效应。实施“党员素质提升工程”，加强党员学习培训。加强党员队伍建设，2021年以来，共发展党员408人，预备党员转正107人。2021年以来收缴党费共88765.05元（不含校属企业党委上交党费），组织关系转出204人，转入 64人。实施“党建+思政”“党建+教学”“党建+科研”“党建+服务”“党建+就业创业”等“党建+”品牌建设，推进党的建设与学校事业发展同部署、同落实、同考评，聚合发挥党建对业务工作的推动力。以党建工作例会、基层党建月报以及党建工作调研为抓手，层层压实党建工作责任。健全党建带群团组织建设的工作机制，召开群团工作联席工作会议，</w:t>
      </w:r>
      <w:r>
        <w:rPr>
          <w:rFonts w:hint="eastAsia" w:ascii="仿宋" w:hAnsi="仿宋" w:eastAsia="仿宋" w:cs="仿宋"/>
          <w:color w:val="000000"/>
          <w:sz w:val="32"/>
          <w:szCs w:val="32"/>
        </w:rPr>
        <w:t>指导团委做好第五次代表大会相关工作，有力推进我校抓党建促群团组织建设工作。</w:t>
      </w:r>
      <w:r>
        <w:rPr>
          <w:rFonts w:hint="eastAsia" w:ascii="仿宋" w:hAnsi="仿宋" w:eastAsia="仿宋" w:cs="仿宋"/>
          <w:color w:val="000000"/>
          <w:sz w:val="32"/>
          <w:szCs w:val="32"/>
          <w:lang w:val="en-US" w:eastAsia="zh-CN"/>
        </w:rPr>
        <w:t>汇聚全校力量，在学校党委的集中统一领导下，齐心协力推进学校事业高质量发展。</w:t>
      </w:r>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94" w:name="_Toc31745"/>
      <w:r>
        <w:rPr>
          <w:rFonts w:hint="default" w:ascii="Times New Roman" w:hAnsi="Times New Roman" w:eastAsia="楷体" w:cs="Times New Roman"/>
          <w:b/>
          <w:bCs/>
          <w:color w:val="auto"/>
          <w:sz w:val="32"/>
          <w:szCs w:val="32"/>
          <w:highlight w:val="none"/>
          <w:lang w:val="en-US" w:eastAsia="zh-CN"/>
        </w:rPr>
        <w:t>（二）师资队伍建设</w:t>
      </w:r>
      <w:bookmarkEnd w:id="94"/>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95" w:name="_Toc15050"/>
      <w:r>
        <w:rPr>
          <w:rFonts w:hint="eastAsia" w:ascii="仿宋" w:hAnsi="仿宋" w:eastAsia="仿宋" w:cs="仿宋"/>
          <w:b/>
          <w:bCs/>
          <w:color w:val="000000"/>
          <w:sz w:val="32"/>
          <w:szCs w:val="32"/>
          <w:lang w:val="en-US" w:eastAsia="zh-CN"/>
        </w:rPr>
        <w:t>1.优化环境保障机制，营造人才创新良好生态</w:t>
      </w:r>
      <w:bookmarkEnd w:id="95"/>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val="0"/>
          <w:bCs w:val="0"/>
          <w:i w:val="0"/>
          <w:caps w:val="0"/>
          <w:color w:val="000000"/>
          <w:spacing w:val="0"/>
          <w:w w:val="100"/>
          <w:sz w:val="32"/>
          <w:szCs w:val="32"/>
          <w:lang w:val="en-US" w:eastAsia="zh-CN"/>
        </w:rPr>
      </w:pPr>
      <w:r>
        <w:rPr>
          <w:rFonts w:hint="eastAsia" w:ascii="仿宋" w:hAnsi="仿宋" w:eastAsia="仿宋" w:cs="仿宋"/>
          <w:color w:val="000000"/>
          <w:sz w:val="32"/>
          <w:szCs w:val="32"/>
          <w:lang w:val="en-US" w:eastAsia="zh-CN"/>
        </w:rPr>
        <w:t>一是优化政策环境。制定出台《博士管理与考核工作暂行办法》、《校企人员“互兼</w:t>
      </w:r>
      <w:r>
        <w:rPr>
          <w:rFonts w:hint="eastAsia" w:ascii="仿宋" w:hAnsi="仿宋" w:eastAsia="仿宋" w:cs="仿宋"/>
          <w:b w:val="0"/>
          <w:bCs w:val="0"/>
          <w:i w:val="0"/>
          <w:caps w:val="0"/>
          <w:color w:val="000000"/>
          <w:spacing w:val="0"/>
          <w:w w:val="100"/>
          <w:sz w:val="32"/>
          <w:szCs w:val="32"/>
          <w:lang w:val="en-US" w:eastAsia="zh-CN"/>
        </w:rPr>
        <w:t>互聘”管理办法（试行）》、《职称评审委员会组织管理暂行办法》，修订《高层次人才引进管理服务办法（试行）》、《教职工离岗创业管理办法（试行）》、《外聘兼职教师管理办法（修订）》等6项规章制度，进一步推动人事工作精细化管理。</w:t>
      </w:r>
    </w:p>
    <w:p>
      <w:pPr>
        <w:widowControl/>
        <w:snapToGrid/>
        <w:spacing w:before="0" w:beforeAutospacing="0" w:after="0" w:afterAutospacing="0" w:line="560" w:lineRule="exact"/>
        <w:ind w:firstLine="600" w:firstLineChars="0"/>
        <w:jc w:val="left"/>
        <w:textAlignment w:val="auto"/>
        <w:rPr>
          <w:rFonts w:hint="eastAsia" w:ascii="仿宋" w:hAnsi="仿宋" w:eastAsia="仿宋" w:cs="仿宋"/>
          <w:b w:val="0"/>
          <w:i w:val="0"/>
          <w:caps w:val="0"/>
          <w:color w:val="000000"/>
          <w:spacing w:val="0"/>
          <w:w w:val="100"/>
          <w:sz w:val="32"/>
          <w:szCs w:val="32"/>
          <w:lang w:val="en-US" w:eastAsia="zh-CN"/>
        </w:rPr>
      </w:pPr>
      <w:r>
        <w:rPr>
          <w:rFonts w:hint="eastAsia" w:ascii="仿宋" w:hAnsi="仿宋" w:eastAsia="仿宋" w:cs="仿宋"/>
          <w:b w:val="0"/>
          <w:bCs w:val="0"/>
          <w:i w:val="0"/>
          <w:caps w:val="0"/>
          <w:color w:val="000000"/>
          <w:spacing w:val="0"/>
          <w:w w:val="100"/>
          <w:sz w:val="32"/>
          <w:szCs w:val="32"/>
          <w:lang w:val="en-US" w:eastAsia="zh-CN"/>
        </w:rPr>
        <w:t>二是优化工作环境。</w:t>
      </w:r>
      <w:r>
        <w:rPr>
          <w:rFonts w:hint="eastAsia" w:ascii="仿宋" w:hAnsi="仿宋" w:eastAsia="仿宋" w:cs="仿宋"/>
          <w:b w:val="0"/>
          <w:i w:val="0"/>
          <w:caps w:val="0"/>
          <w:color w:val="000000"/>
          <w:spacing w:val="0"/>
          <w:w w:val="100"/>
          <w:sz w:val="32"/>
          <w:szCs w:val="32"/>
          <w:lang w:val="en-US" w:eastAsia="zh-CN"/>
        </w:rPr>
        <w:t>通过成立广西乡村振兴研究院、广西人居环境研究中心、广西城市更新研究中心等教辅科研机构，合作建设汪发武院士工作室，引进博士团队开展科学研究，并与武汉理工大学合作成立了广西韧性城市研究院，积极为人才营造良好的教学科研环境。</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i w:val="0"/>
          <w:caps w:val="0"/>
          <w:color w:val="000000"/>
          <w:spacing w:val="0"/>
          <w:w w:val="100"/>
          <w:sz w:val="32"/>
          <w:szCs w:val="32"/>
          <w:lang w:val="en-US" w:eastAsia="zh-CN"/>
        </w:rPr>
        <w:t>三是优化成长环境。</w:t>
      </w:r>
      <w:r>
        <w:rPr>
          <w:rFonts w:hint="eastAsia" w:ascii="仿宋" w:hAnsi="仿宋" w:eastAsia="仿宋" w:cs="仿宋"/>
          <w:b w:val="0"/>
          <w:i w:val="0"/>
          <w:caps w:val="0"/>
          <w:color w:val="000000"/>
          <w:spacing w:val="0"/>
          <w:w w:val="100"/>
          <w:sz w:val="32"/>
          <w:szCs w:val="32"/>
          <w:lang w:val="en-US" w:eastAsia="zh-CN"/>
        </w:rPr>
        <w:t>实施教师分层次培训培养计划，与国内行业顶尖大学同济大学合作，投入230万元分两年联合培养校内教师，采取校本培训、网络研修、课堂观察、入企实践、校企共赛等诸多培训模块，力争全方位提升我校教师</w:t>
      </w:r>
      <w:r>
        <w:rPr>
          <w:rFonts w:hint="eastAsia" w:ascii="仿宋" w:hAnsi="仿宋" w:eastAsia="仿宋" w:cs="仿宋"/>
          <w:color w:val="000000"/>
          <w:sz w:val="32"/>
          <w:szCs w:val="32"/>
          <w:lang w:val="en-US" w:eastAsia="zh-CN"/>
        </w:rPr>
        <w:t>综合素质，为学校发展提供有力的人才支撑。</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96" w:name="_Toc17983"/>
      <w:r>
        <w:rPr>
          <w:rFonts w:hint="eastAsia" w:ascii="仿宋" w:hAnsi="仿宋" w:eastAsia="仿宋" w:cs="仿宋"/>
          <w:b/>
          <w:bCs/>
          <w:color w:val="000000"/>
          <w:sz w:val="32"/>
          <w:szCs w:val="32"/>
          <w:lang w:val="en-US" w:eastAsia="zh-CN"/>
        </w:rPr>
        <w:t>2.实施双轮驱动战略，打造高水平师资队伍</w:t>
      </w:r>
      <w:bookmarkEnd w:id="96"/>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val="0"/>
          <w:i w:val="0"/>
          <w:caps w:val="0"/>
          <w:color w:val="000000"/>
          <w:spacing w:val="0"/>
          <w:w w:val="100"/>
          <w:kern w:val="2"/>
          <w:sz w:val="32"/>
          <w:szCs w:val="32"/>
          <w:lang w:val="en-US" w:eastAsia="zh-CN" w:bidi="ar-SA"/>
        </w:rPr>
      </w:pPr>
      <w:r>
        <w:rPr>
          <w:rFonts w:hint="eastAsia" w:ascii="仿宋" w:hAnsi="仿宋" w:eastAsia="仿宋" w:cs="仿宋"/>
          <w:color w:val="000000"/>
          <w:sz w:val="32"/>
          <w:szCs w:val="32"/>
          <w:lang w:val="en-US" w:eastAsia="zh-CN"/>
        </w:rPr>
        <w:t>一是广开渠道引才聚才。</w:t>
      </w:r>
      <w:r>
        <w:rPr>
          <w:rFonts w:hint="eastAsia" w:ascii="仿宋" w:hAnsi="仿宋" w:eastAsia="仿宋" w:cs="仿宋"/>
          <w:b w:val="0"/>
          <w:i w:val="0"/>
          <w:caps w:val="0"/>
          <w:color w:val="000000"/>
          <w:spacing w:val="0"/>
          <w:w w:val="100"/>
          <w:sz w:val="32"/>
          <w:szCs w:val="32"/>
          <w:lang w:val="en-US" w:eastAsia="zh-CN"/>
        </w:rPr>
        <w:t>通过参加自治区人社厅组织的赴区外招聘高层次人才工作项目，到武汉理工大学开展交流合作开展博士引培工作，到广西大学举行博士招聘宣讲等途径多渠道全方位招揽人才，为学校可持续发展做好人才储备。2021年共完成五批次人才招聘面试工作，</w:t>
      </w:r>
      <w:r>
        <w:rPr>
          <w:rFonts w:hint="eastAsia" w:ascii="仿宋" w:hAnsi="仿宋" w:eastAsia="仿宋" w:cs="仿宋"/>
          <w:b w:val="0"/>
          <w:i w:val="0"/>
          <w:caps w:val="0"/>
          <w:color w:val="000000"/>
          <w:spacing w:val="0"/>
          <w:w w:val="100"/>
          <w:kern w:val="2"/>
          <w:sz w:val="32"/>
          <w:szCs w:val="32"/>
          <w:lang w:val="en-US" w:eastAsia="zh-CN" w:bidi="ar-SA"/>
        </w:rPr>
        <w:t>引进教职工110人，其中具有正高级职称3人，副高级职称10人。</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i w:val="0"/>
          <w:caps w:val="0"/>
          <w:color w:val="000000"/>
          <w:spacing w:val="0"/>
          <w:w w:val="100"/>
          <w:sz w:val="32"/>
          <w:szCs w:val="32"/>
          <w:lang w:val="en-US" w:eastAsia="zh-CN"/>
        </w:rPr>
        <w:t>二是大力引培高层次人才。</w:t>
      </w:r>
      <w:r>
        <w:rPr>
          <w:rFonts w:hint="eastAsia" w:ascii="仿宋" w:hAnsi="仿宋" w:eastAsia="仿宋" w:cs="仿宋"/>
          <w:b w:val="0"/>
          <w:i w:val="0"/>
          <w:caps w:val="0"/>
          <w:color w:val="000000"/>
          <w:spacing w:val="0"/>
          <w:w w:val="100"/>
          <w:sz w:val="32"/>
          <w:szCs w:val="32"/>
          <w:lang w:val="en-US" w:eastAsia="zh-CN"/>
        </w:rPr>
        <w:t>学校积极鼓励广大教职工积极提高学历学位，在职攻读期间给予适当经济资助。2021年</w:t>
      </w:r>
      <w:r>
        <w:rPr>
          <w:rFonts w:hint="eastAsia" w:ascii="仿宋" w:hAnsi="仿宋" w:eastAsia="仿宋" w:cs="仿宋"/>
          <w:color w:val="000000"/>
          <w:sz w:val="32"/>
          <w:szCs w:val="32"/>
          <w:lang w:val="en-US" w:eastAsia="zh-CN"/>
        </w:rPr>
        <w:t>共引培博士6名，其中引进4名，在职培养获得博士学位2名。</w:t>
      </w:r>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97" w:name="_Toc9886"/>
      <w:r>
        <w:rPr>
          <w:rFonts w:hint="default" w:ascii="Times New Roman" w:hAnsi="Times New Roman" w:eastAsia="楷体" w:cs="Times New Roman"/>
          <w:b/>
          <w:bCs/>
          <w:color w:val="auto"/>
          <w:sz w:val="32"/>
          <w:szCs w:val="32"/>
          <w:highlight w:val="none"/>
          <w:lang w:val="en-US" w:eastAsia="zh-CN"/>
        </w:rPr>
        <w:t>（三）加强治理体系和治理能力建设，全面提升学校治理水平</w:t>
      </w:r>
      <w:bookmarkEnd w:id="97"/>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2021年，我校进一步完善管理制度体系，优化内部治理结构，深化内部风险防控，不断推进学校治理体系和治理能力现代化，促进高等教育高质量内涵式发展。</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sz w:val="32"/>
          <w:szCs w:val="32"/>
          <w:lang w:val="en-US" w:eastAsia="zh-CN"/>
        </w:rPr>
        <w:t>一是</w:t>
      </w:r>
      <w:r>
        <w:rPr>
          <w:rFonts w:hint="eastAsia" w:ascii="仿宋" w:hAnsi="仿宋" w:eastAsia="仿宋" w:cs="仿宋"/>
          <w:color w:val="000000"/>
          <w:sz w:val="32"/>
          <w:szCs w:val="32"/>
          <w:lang w:val="en-US" w:eastAsia="zh-CN"/>
        </w:rPr>
        <w:t>不断健全管理制度体系，强化制度执行力度。制定并严格执行了2021年规范性文件清理工作计划，不断优化完善学校管理制度体系。编制《管理工作标准化流程手册》，优化、简化管理工作流程，提高行政效能；加强法规及学校规章宣贯力度，开展“建院法治大讲堂”系列活动，面向全校教职工开展2021年规范性文件知识竞答活动，提升了规范性文件的执行力。</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eastAsia="zh-CN"/>
        </w:rPr>
      </w:pPr>
      <w:r>
        <w:rPr>
          <w:rFonts w:hint="eastAsia" w:ascii="仿宋" w:hAnsi="仿宋" w:eastAsia="仿宋" w:cs="仿宋"/>
          <w:b w:val="0"/>
          <w:bCs w:val="0"/>
          <w:color w:val="000000"/>
          <w:sz w:val="32"/>
          <w:szCs w:val="32"/>
          <w:lang w:val="en-US" w:eastAsia="zh-CN"/>
        </w:rPr>
        <w:t>二是</w:t>
      </w:r>
      <w:r>
        <w:rPr>
          <w:rFonts w:hint="eastAsia" w:ascii="仿宋" w:hAnsi="仿宋" w:eastAsia="仿宋" w:cs="仿宋"/>
          <w:color w:val="000000"/>
          <w:sz w:val="32"/>
          <w:szCs w:val="32"/>
          <w:lang w:val="en-US" w:eastAsia="zh-CN"/>
        </w:rPr>
        <w:t>全面实施绩效管理。</w:t>
      </w:r>
      <w:r>
        <w:rPr>
          <w:rFonts w:hint="eastAsia" w:ascii="仿宋" w:hAnsi="仿宋" w:eastAsia="仿宋" w:cs="仿宋"/>
          <w:b w:val="0"/>
          <w:bCs w:val="0"/>
          <w:color w:val="000000"/>
          <w:kern w:val="2"/>
          <w:sz w:val="32"/>
          <w:szCs w:val="32"/>
          <w:lang w:val="en-US" w:eastAsia="zh-CN" w:bidi="ar-SA"/>
        </w:rPr>
        <w:t>顺利完成2020年绩效考评工作，最终成绩于2021年5月公布。切实将绩效考核结果与工资分配、各类评优评先挂钩，发挥了绩效考核“指挥棒”的作用</w:t>
      </w:r>
      <w:r>
        <w:rPr>
          <w:rFonts w:hint="eastAsia" w:ascii="仿宋" w:hAnsi="仿宋" w:eastAsia="仿宋" w:cs="仿宋"/>
          <w:color w:val="000000"/>
          <w:sz w:val="32"/>
          <w:szCs w:val="32"/>
          <w:lang w:eastAsia="zh-CN"/>
        </w:rPr>
        <w:t>，有效提升内部管理水平。</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val="0"/>
          <w:i w:val="0"/>
          <w:caps w:val="0"/>
          <w:color w:val="000000"/>
          <w:spacing w:val="0"/>
          <w:kern w:val="2"/>
          <w:sz w:val="32"/>
          <w:szCs w:val="32"/>
          <w:shd w:val="clear"/>
          <w:lang w:val="en-US" w:eastAsia="zh-CN" w:bidi="ar-SA"/>
        </w:rPr>
      </w:pPr>
      <w:r>
        <w:rPr>
          <w:rFonts w:hint="eastAsia" w:ascii="仿宋" w:hAnsi="仿宋" w:eastAsia="仿宋" w:cs="仿宋"/>
          <w:b w:val="0"/>
          <w:bCs w:val="0"/>
          <w:color w:val="000000"/>
          <w:sz w:val="32"/>
          <w:szCs w:val="32"/>
          <w:lang w:eastAsia="zh-CN"/>
        </w:rPr>
        <w:t>三是</w:t>
      </w:r>
      <w:r>
        <w:rPr>
          <w:rFonts w:hint="eastAsia" w:ascii="仿宋" w:hAnsi="仿宋" w:eastAsia="仿宋" w:cs="仿宋"/>
          <w:color w:val="000000"/>
          <w:sz w:val="32"/>
          <w:szCs w:val="32"/>
          <w:lang w:eastAsia="zh-CN"/>
        </w:rPr>
        <w:t>健全科学决策机制。</w:t>
      </w:r>
      <w:r>
        <w:rPr>
          <w:rFonts w:hint="eastAsia" w:ascii="仿宋" w:hAnsi="仿宋" w:eastAsia="仿宋" w:cs="仿宋"/>
          <w:color w:val="000000"/>
          <w:sz w:val="32"/>
          <w:szCs w:val="32"/>
          <w:lang w:val="en-US" w:eastAsia="zh-CN"/>
        </w:rPr>
        <w:t>修订了《</w:t>
      </w:r>
      <w:r>
        <w:rPr>
          <w:rFonts w:hint="eastAsia" w:ascii="仿宋" w:hAnsi="仿宋" w:eastAsia="仿宋" w:cs="仿宋"/>
          <w:b w:val="0"/>
          <w:i w:val="0"/>
          <w:caps w:val="0"/>
          <w:color w:val="000000"/>
          <w:spacing w:val="0"/>
          <w:kern w:val="2"/>
          <w:sz w:val="32"/>
          <w:szCs w:val="32"/>
          <w:shd w:val="clear"/>
          <w:lang w:val="en-US" w:eastAsia="zh-CN" w:bidi="ar-SA"/>
        </w:rPr>
        <w:t>中共广西建设职业技术学院委员会</w:t>
      </w:r>
      <w:r>
        <w:rPr>
          <w:rFonts w:hint="eastAsia" w:ascii="仿宋" w:hAnsi="仿宋" w:eastAsia="仿宋" w:cs="仿宋"/>
          <w:color w:val="000000"/>
          <w:sz w:val="32"/>
          <w:szCs w:val="32"/>
          <w:lang w:val="en-US" w:eastAsia="zh-CN"/>
        </w:rPr>
        <w:t>会议议事规则（修订）》《校长办公会议议事规则（修订）》，</w:t>
      </w:r>
      <w:r>
        <w:rPr>
          <w:rFonts w:hint="eastAsia" w:ascii="仿宋" w:hAnsi="仿宋" w:eastAsia="仿宋" w:cs="仿宋"/>
          <w:b w:val="0"/>
          <w:i w:val="0"/>
          <w:caps w:val="0"/>
          <w:color w:val="000000"/>
          <w:spacing w:val="0"/>
          <w:kern w:val="2"/>
          <w:sz w:val="32"/>
          <w:szCs w:val="32"/>
          <w:shd w:val="clear"/>
          <w:lang w:val="en-US" w:eastAsia="zh-CN" w:bidi="ar-SA"/>
        </w:rPr>
        <w:t>进一步理清了党委和校长的主要职责。</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val="0"/>
          <w:bCs w:val="0"/>
          <w:color w:val="000000"/>
          <w:kern w:val="2"/>
          <w:sz w:val="32"/>
          <w:szCs w:val="32"/>
          <w:shd w:val="clear"/>
          <w:lang w:val="en-US" w:eastAsia="zh-CN" w:bidi="ar"/>
        </w:rPr>
      </w:pPr>
      <w:r>
        <w:rPr>
          <w:rFonts w:hint="eastAsia" w:ascii="仿宋" w:hAnsi="仿宋" w:eastAsia="仿宋" w:cs="仿宋"/>
          <w:b w:val="0"/>
          <w:bCs w:val="0"/>
          <w:i w:val="0"/>
          <w:caps w:val="0"/>
          <w:color w:val="000000"/>
          <w:spacing w:val="0"/>
          <w:kern w:val="2"/>
          <w:sz w:val="32"/>
          <w:szCs w:val="32"/>
          <w:shd w:val="clear"/>
          <w:lang w:val="en-US" w:eastAsia="zh-CN" w:bidi="ar-SA"/>
        </w:rPr>
        <w:t>四是</w:t>
      </w:r>
      <w:r>
        <w:rPr>
          <w:rFonts w:hint="eastAsia" w:ascii="仿宋" w:hAnsi="仿宋" w:eastAsia="仿宋" w:cs="仿宋"/>
          <w:color w:val="000000"/>
          <w:sz w:val="32"/>
          <w:szCs w:val="32"/>
          <w:lang w:eastAsia="zh-CN"/>
        </w:rPr>
        <w:t>充分发挥“教授治学”作用。</w:t>
      </w:r>
      <w:r>
        <w:rPr>
          <w:rFonts w:hint="eastAsia" w:ascii="仿宋" w:hAnsi="仿宋" w:eastAsia="仿宋" w:cs="仿宋"/>
          <w:b w:val="0"/>
          <w:bCs w:val="0"/>
          <w:color w:val="000000"/>
          <w:sz w:val="32"/>
          <w:szCs w:val="32"/>
          <w:lang w:val="en-US" w:eastAsia="zh-CN"/>
        </w:rPr>
        <w:t>印发了《学术道德规范及学术不端行为查处办法》《横向科研项目经费管理暂行办法（试行）》《教研标志性成果工作量认定与奖励办法（试行）》等制度</w:t>
      </w:r>
      <w:r>
        <w:rPr>
          <w:rFonts w:hint="eastAsia" w:ascii="仿宋" w:hAnsi="仿宋" w:eastAsia="仿宋" w:cs="仿宋"/>
          <w:color w:val="000000"/>
          <w:sz w:val="32"/>
          <w:szCs w:val="32"/>
          <w:lang w:eastAsia="zh-CN"/>
        </w:rPr>
        <w:t>，</w:t>
      </w:r>
      <w:r>
        <w:rPr>
          <w:rFonts w:hint="eastAsia" w:ascii="仿宋" w:hAnsi="仿宋" w:eastAsia="仿宋" w:cs="仿宋"/>
          <w:b w:val="0"/>
          <w:bCs w:val="0"/>
          <w:color w:val="000000"/>
          <w:kern w:val="2"/>
          <w:sz w:val="32"/>
          <w:szCs w:val="32"/>
          <w:shd w:val="clear"/>
          <w:lang w:val="en-US" w:eastAsia="zh-CN" w:bidi="ar"/>
        </w:rPr>
        <w:t>学术科研制度体系</w:t>
      </w:r>
      <w:r>
        <w:rPr>
          <w:rFonts w:hint="eastAsia" w:ascii="仿宋" w:hAnsi="仿宋" w:eastAsia="仿宋" w:cs="仿宋"/>
          <w:color w:val="000000"/>
          <w:sz w:val="32"/>
          <w:szCs w:val="32"/>
          <w:lang w:eastAsia="zh-CN"/>
        </w:rPr>
        <w:t>进一步</w:t>
      </w:r>
      <w:r>
        <w:rPr>
          <w:rFonts w:hint="eastAsia" w:ascii="仿宋" w:hAnsi="仿宋" w:eastAsia="仿宋" w:cs="仿宋"/>
          <w:b w:val="0"/>
          <w:bCs w:val="0"/>
          <w:color w:val="000000"/>
          <w:kern w:val="2"/>
          <w:sz w:val="32"/>
          <w:szCs w:val="32"/>
          <w:shd w:val="clear"/>
          <w:lang w:val="en-US" w:eastAsia="zh-CN" w:bidi="ar"/>
        </w:rPr>
        <w:t>完善。</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eastAsia="zh-CN"/>
        </w:rPr>
      </w:pPr>
      <w:r>
        <w:rPr>
          <w:rFonts w:hint="eastAsia" w:ascii="仿宋" w:hAnsi="仿宋" w:eastAsia="仿宋" w:cs="仿宋"/>
          <w:b w:val="0"/>
          <w:bCs w:val="0"/>
          <w:color w:val="000000"/>
          <w:kern w:val="2"/>
          <w:sz w:val="32"/>
          <w:szCs w:val="32"/>
          <w:shd w:val="clear"/>
          <w:lang w:val="en-US" w:eastAsia="zh-CN" w:bidi="ar"/>
        </w:rPr>
        <w:t>五</w:t>
      </w:r>
      <w:r>
        <w:rPr>
          <w:rFonts w:hint="eastAsia" w:ascii="仿宋" w:hAnsi="仿宋" w:eastAsia="仿宋" w:cs="仿宋"/>
          <w:b w:val="0"/>
          <w:bCs w:val="0"/>
          <w:color w:val="000000"/>
          <w:sz w:val="32"/>
          <w:szCs w:val="32"/>
          <w:lang w:eastAsia="zh-CN"/>
        </w:rPr>
        <w:t>是</w:t>
      </w:r>
      <w:r>
        <w:rPr>
          <w:rFonts w:hint="eastAsia" w:ascii="仿宋" w:hAnsi="仿宋" w:eastAsia="仿宋" w:cs="仿宋"/>
          <w:color w:val="000000"/>
          <w:sz w:val="32"/>
          <w:szCs w:val="32"/>
          <w:lang w:eastAsia="zh-CN"/>
        </w:rPr>
        <w:t>不断完善民主治理机制。</w:t>
      </w:r>
      <w:r>
        <w:rPr>
          <w:rFonts w:hint="eastAsia" w:ascii="仿宋" w:hAnsi="仿宋" w:eastAsia="仿宋" w:cs="仿宋"/>
          <w:b w:val="0"/>
          <w:bCs w:val="0"/>
          <w:color w:val="000000"/>
          <w:kern w:val="2"/>
          <w:sz w:val="32"/>
          <w:szCs w:val="32"/>
          <w:shd w:val="clear"/>
          <w:lang w:val="en-US" w:eastAsia="zh-CN" w:bidi="ar"/>
        </w:rPr>
        <w:t>修订了学校《教</w:t>
      </w:r>
      <w:r>
        <w:rPr>
          <w:rFonts w:hint="eastAsia" w:ascii="仿宋" w:hAnsi="仿宋" w:eastAsia="仿宋" w:cs="仿宋"/>
          <w:b w:val="0"/>
          <w:bCs w:val="0"/>
          <w:color w:val="000000"/>
          <w:sz w:val="32"/>
          <w:szCs w:val="32"/>
          <w:lang w:val="en-US" w:eastAsia="zh-CN"/>
        </w:rPr>
        <w:t>职工代表大会实施办法》，新建了《教职工代表大会提案工作委员会工作细则》《教代会执行委员会工作细则》，进一步完善了教职工代表大会制度体系。设立了校园议事厅，</w:t>
      </w:r>
      <w:r>
        <w:rPr>
          <w:rFonts w:hint="eastAsia" w:ascii="仿宋" w:hAnsi="仿宋" w:eastAsia="仿宋" w:cs="仿宋"/>
          <w:color w:val="000000"/>
          <w:sz w:val="32"/>
          <w:szCs w:val="32"/>
          <w:lang w:eastAsia="zh-CN"/>
        </w:rPr>
        <w:t>出台了</w:t>
      </w:r>
      <w:r>
        <w:rPr>
          <w:rFonts w:hint="eastAsia" w:ascii="仿宋" w:hAnsi="仿宋" w:eastAsia="仿宋" w:cs="仿宋"/>
          <w:b w:val="0"/>
          <w:bCs w:val="0"/>
          <w:color w:val="000000"/>
          <w:sz w:val="32"/>
          <w:szCs w:val="32"/>
          <w:lang w:val="en-US" w:eastAsia="zh-CN"/>
        </w:rPr>
        <w:t>《校园议事厅管理制度》</w:t>
      </w:r>
      <w:r>
        <w:rPr>
          <w:rFonts w:hint="eastAsia" w:ascii="仿宋" w:hAnsi="仿宋" w:eastAsia="仿宋" w:cs="仿宋"/>
          <w:color w:val="000000"/>
          <w:sz w:val="32"/>
          <w:szCs w:val="32"/>
          <w:lang w:eastAsia="zh-CN"/>
        </w:rPr>
        <w:t>，召开教职工代表大会、学生代表大会，开展学校领导接待日、工会主席接待日、学生民主座谈会等活动，师生参与学校民主管理的渠道不断拓宽。</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sz w:val="32"/>
          <w:szCs w:val="32"/>
          <w:lang w:val="en-US" w:eastAsia="zh-CN"/>
        </w:rPr>
        <w:t>六</w:t>
      </w:r>
      <w:r>
        <w:rPr>
          <w:rFonts w:hint="eastAsia" w:ascii="仿宋" w:hAnsi="仿宋" w:eastAsia="仿宋" w:cs="仿宋"/>
          <w:b w:val="0"/>
          <w:bCs w:val="0"/>
          <w:color w:val="000000"/>
          <w:sz w:val="32"/>
          <w:szCs w:val="32"/>
          <w:lang w:eastAsia="zh-CN"/>
        </w:rPr>
        <w:t>是</w:t>
      </w:r>
      <w:r>
        <w:rPr>
          <w:rFonts w:hint="eastAsia" w:ascii="仿宋" w:hAnsi="仿宋" w:eastAsia="仿宋" w:cs="仿宋"/>
          <w:color w:val="000000"/>
          <w:sz w:val="32"/>
          <w:szCs w:val="32"/>
          <w:lang w:eastAsia="zh-CN"/>
        </w:rPr>
        <w:t>深化内部风险防控体系建设。完善纪检监督和内部审计监督机制，聚焦</w:t>
      </w:r>
      <w:r>
        <w:rPr>
          <w:rFonts w:hint="eastAsia" w:ascii="仿宋" w:hAnsi="仿宋" w:eastAsia="仿宋" w:cs="仿宋"/>
          <w:color w:val="000000"/>
          <w:sz w:val="32"/>
          <w:szCs w:val="32"/>
        </w:rPr>
        <w:t>重要领域、重要任务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关键环节、关键节点</w:t>
      </w:r>
      <w:r>
        <w:rPr>
          <w:rFonts w:hint="eastAsia" w:ascii="仿宋" w:hAnsi="仿宋" w:eastAsia="仿宋" w:cs="仿宋"/>
          <w:color w:val="000000"/>
          <w:sz w:val="32"/>
          <w:szCs w:val="32"/>
          <w:lang w:eastAsia="zh-CN"/>
        </w:rPr>
        <w:t>的监督</w:t>
      </w:r>
      <w:r>
        <w:rPr>
          <w:rFonts w:hint="eastAsia" w:ascii="仿宋" w:hAnsi="仿宋" w:eastAsia="仿宋" w:cs="仿宋"/>
          <w:color w:val="000000"/>
          <w:sz w:val="32"/>
          <w:szCs w:val="32"/>
        </w:rPr>
        <w:t>检查</w:t>
      </w:r>
      <w:r>
        <w:rPr>
          <w:rFonts w:hint="eastAsia" w:ascii="仿宋" w:hAnsi="仿宋" w:eastAsia="仿宋" w:cs="仿宋"/>
          <w:color w:val="000000"/>
          <w:sz w:val="32"/>
          <w:szCs w:val="32"/>
          <w:lang w:eastAsia="zh-CN"/>
        </w:rPr>
        <w:t>审计，保证学校管理与决策执行的规范、廉洁、高效。完成</w:t>
      </w:r>
      <w:r>
        <w:rPr>
          <w:rFonts w:hint="eastAsia" w:ascii="仿宋" w:hAnsi="仿宋" w:eastAsia="仿宋" w:cs="仿宋"/>
          <w:b w:val="0"/>
          <w:bCs w:val="0"/>
          <w:color w:val="000000"/>
          <w:kern w:val="2"/>
          <w:sz w:val="32"/>
          <w:szCs w:val="32"/>
          <w:shd w:val="clear"/>
          <w:lang w:bidi="ar"/>
        </w:rPr>
        <w:t>内部控制手册</w:t>
      </w:r>
      <w:r>
        <w:rPr>
          <w:rFonts w:hint="eastAsia" w:ascii="仿宋" w:hAnsi="仿宋" w:eastAsia="仿宋" w:cs="仿宋"/>
          <w:color w:val="000000"/>
          <w:sz w:val="32"/>
          <w:szCs w:val="32"/>
          <w:lang w:eastAsia="zh-CN"/>
        </w:rPr>
        <w:t>编制工作</w:t>
      </w:r>
      <w:r>
        <w:rPr>
          <w:rFonts w:hint="eastAsia" w:ascii="仿宋" w:hAnsi="仿宋" w:eastAsia="仿宋" w:cs="仿宋"/>
          <w:b w:val="0"/>
          <w:bCs w:val="0"/>
          <w:color w:val="000000"/>
          <w:kern w:val="2"/>
          <w:sz w:val="32"/>
          <w:szCs w:val="32"/>
          <w:shd w:val="clear"/>
          <w:lang w:eastAsia="zh-CN" w:bidi="ar"/>
        </w:rPr>
        <w:t>，</w:t>
      </w:r>
      <w:r>
        <w:rPr>
          <w:rFonts w:hint="eastAsia" w:ascii="仿宋" w:hAnsi="仿宋" w:eastAsia="仿宋" w:cs="仿宋"/>
          <w:color w:val="000000"/>
          <w:sz w:val="32"/>
          <w:szCs w:val="32"/>
          <w:lang w:eastAsia="zh-CN"/>
        </w:rPr>
        <w:t>进一步强化对学校业务层面的内部流</w:t>
      </w:r>
      <w:r>
        <w:rPr>
          <w:rFonts w:hint="eastAsia" w:ascii="仿宋" w:hAnsi="仿宋" w:eastAsia="仿宋" w:cs="仿宋"/>
          <w:color w:val="000000"/>
          <w:sz w:val="32"/>
          <w:szCs w:val="32"/>
          <w:lang w:val="en-US" w:eastAsia="zh-CN"/>
        </w:rPr>
        <w:t>程控制，有效规范了内部权力运行。</w:t>
      </w:r>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color w:val="auto"/>
          <w:sz w:val="32"/>
          <w:szCs w:val="32"/>
          <w:highlight w:val="none"/>
          <w:lang w:val="en-US" w:eastAsia="zh-CN"/>
        </w:rPr>
      </w:pPr>
      <w:bookmarkStart w:id="98" w:name="_Toc11961"/>
      <w:r>
        <w:rPr>
          <w:rFonts w:hint="default" w:ascii="Times New Roman" w:hAnsi="Times New Roman" w:eastAsia="楷体" w:cs="Times New Roman"/>
          <w:b/>
          <w:bCs/>
          <w:color w:val="auto"/>
          <w:sz w:val="32"/>
          <w:szCs w:val="32"/>
          <w:highlight w:val="none"/>
          <w:lang w:val="en-US" w:eastAsia="zh-CN"/>
        </w:rPr>
        <w:t>（四）校园文化</w:t>
      </w:r>
      <w:bookmarkEnd w:id="98"/>
      <w:r>
        <w:rPr>
          <w:rFonts w:hint="default" w:ascii="Times New Roman" w:hAnsi="Times New Roman" w:eastAsia="楷体" w:cs="Times New Roman"/>
          <w:b/>
          <w:bCs/>
          <w:color w:val="auto"/>
          <w:sz w:val="32"/>
          <w:szCs w:val="32"/>
          <w:highlight w:val="none"/>
          <w:lang w:val="en-US" w:eastAsia="zh-CN"/>
        </w:rPr>
        <w:t>建设</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99" w:name="_Toc18034"/>
      <w:r>
        <w:rPr>
          <w:rFonts w:hint="eastAsia" w:ascii="仿宋" w:hAnsi="仿宋" w:eastAsia="仿宋" w:cs="仿宋"/>
          <w:b/>
          <w:bCs/>
          <w:color w:val="000000"/>
          <w:sz w:val="32"/>
          <w:szCs w:val="32"/>
          <w:lang w:val="en-US" w:eastAsia="zh-CN"/>
        </w:rPr>
        <w:t>1.落实意识形态工作责任制，加强意识形态阵地管理</w:t>
      </w:r>
      <w:bookmarkEnd w:id="99"/>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全面强化意识形态工作，牢牢把握学校意识形态工作领导权。根据《广西建设职</w:t>
      </w:r>
      <w:r>
        <w:rPr>
          <w:rFonts w:hint="eastAsia" w:ascii="仿宋" w:hAnsi="仿宋" w:eastAsia="仿宋" w:cs="仿宋"/>
          <w:color w:val="000000"/>
          <w:sz w:val="32"/>
          <w:szCs w:val="32"/>
        </w:rPr>
        <w:t>业技术学院落实意识形态工作责任制实施细则（试行）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全面落实意识形态</w:t>
      </w:r>
      <w:r>
        <w:rPr>
          <w:rFonts w:hint="eastAsia" w:ascii="仿宋" w:hAnsi="仿宋" w:eastAsia="仿宋" w:cs="仿宋"/>
          <w:color w:val="000000"/>
          <w:sz w:val="32"/>
          <w:szCs w:val="32"/>
          <w:lang w:eastAsia="zh-CN"/>
        </w:rPr>
        <w:t>责任制，将意识形态工作纳入年终党建调研同部署同检查</w:t>
      </w:r>
      <w:r>
        <w:rPr>
          <w:rFonts w:hint="eastAsia" w:ascii="仿宋" w:hAnsi="仿宋" w:eastAsia="仿宋" w:cs="仿宋"/>
          <w:color w:val="000000"/>
          <w:sz w:val="32"/>
          <w:szCs w:val="32"/>
        </w:rPr>
        <w:t>。加强校园网络舆情监控机制建设，健全强化意识形态阵地定期排查机制进一步加强对学生会和学生社团的引导和管理。强化意识形态形势定期分析研判，做好重大时间节点的舆情引导监管工作。</w:t>
      </w:r>
      <w:r>
        <w:rPr>
          <w:rFonts w:hint="eastAsia" w:ascii="仿宋" w:hAnsi="仿宋" w:eastAsia="仿宋" w:cs="仿宋"/>
          <w:color w:val="000000"/>
          <w:sz w:val="32"/>
          <w:szCs w:val="32"/>
          <w:shd w:val="clear"/>
        </w:rPr>
        <w:t>制定《校内宣传媒体管理规定》《师生自媒体自律守则》等制度，通过标语横幅、LED屏、橱窗、展板、微信公众号等多渠道</w:t>
      </w:r>
      <w:r>
        <w:rPr>
          <w:rFonts w:hint="eastAsia" w:ascii="仿宋" w:hAnsi="仿宋" w:eastAsia="仿宋" w:cs="仿宋"/>
          <w:color w:val="000000"/>
          <w:sz w:val="32"/>
          <w:szCs w:val="32"/>
          <w:shd w:val="clear"/>
          <w:lang w:val="en-US" w:eastAsia="zh-CN"/>
        </w:rPr>
        <w:t>开展各类宣传</w:t>
      </w:r>
      <w:r>
        <w:rPr>
          <w:rFonts w:hint="eastAsia" w:ascii="仿宋" w:hAnsi="仿宋" w:eastAsia="仿宋" w:cs="仿宋"/>
          <w:color w:val="000000"/>
          <w:sz w:val="32"/>
          <w:szCs w:val="32"/>
          <w:shd w:val="clear"/>
        </w:rPr>
        <w:t>，开展学校网络通讯员队伍培训、网络优秀作品征集等活动，引导师生增强网络安全意识，遵守网络</w:t>
      </w:r>
      <w:r>
        <w:rPr>
          <w:rFonts w:hint="eastAsia" w:ascii="仿宋" w:hAnsi="仿宋" w:eastAsia="仿宋" w:cs="仿宋"/>
          <w:color w:val="000000"/>
          <w:sz w:val="32"/>
          <w:szCs w:val="32"/>
          <w:lang w:val="en-US" w:eastAsia="zh-CN"/>
        </w:rPr>
        <w:t>行为规范，养成文明网络生活方式。</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100" w:name="_Toc11288"/>
      <w:r>
        <w:rPr>
          <w:rFonts w:hint="eastAsia" w:ascii="仿宋" w:hAnsi="仿宋" w:eastAsia="仿宋" w:cs="仿宋"/>
          <w:b/>
          <w:bCs/>
          <w:color w:val="000000"/>
          <w:sz w:val="32"/>
          <w:szCs w:val="32"/>
          <w:lang w:val="en-US" w:eastAsia="zh-CN"/>
        </w:rPr>
        <w:t>2.全面推进“三全育人”综合改革工作，加快构建我校思想政治工作体系</w:t>
      </w:r>
      <w:bookmarkEnd w:id="100"/>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全面推进我校“</w:t>
      </w:r>
      <w:r>
        <w:rPr>
          <w:rFonts w:hint="eastAsia" w:ascii="仿宋" w:hAnsi="仿宋" w:eastAsia="仿宋" w:cs="仿宋"/>
          <w:color w:val="000000"/>
          <w:sz w:val="32"/>
          <w:szCs w:val="32"/>
        </w:rPr>
        <w:t>三全育人”综合改革工作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台账式落实</w:t>
      </w:r>
      <w:r>
        <w:rPr>
          <w:rFonts w:hint="eastAsia" w:ascii="仿宋" w:hAnsi="仿宋" w:eastAsia="仿宋" w:cs="仿宋"/>
          <w:b w:val="0"/>
          <w:color w:val="000000"/>
          <w:sz w:val="32"/>
          <w:szCs w:val="32"/>
        </w:rPr>
        <w:t>《广西建设职业技术学院全面推进“三全育人”综合改革工作实施方案》</w:t>
      </w:r>
      <w:r>
        <w:rPr>
          <w:rFonts w:hint="eastAsia" w:ascii="仿宋" w:hAnsi="仿宋" w:eastAsia="仿宋" w:cs="仿宋"/>
          <w:b w:val="0"/>
          <w:color w:val="000000"/>
          <w:sz w:val="32"/>
          <w:szCs w:val="32"/>
          <w:lang w:eastAsia="zh-CN"/>
        </w:rPr>
        <w:t>，</w:t>
      </w:r>
      <w:r>
        <w:rPr>
          <w:rFonts w:hint="eastAsia" w:ascii="仿宋" w:hAnsi="仿宋" w:eastAsia="仿宋" w:cs="仿宋"/>
          <w:b w:val="0"/>
          <w:color w:val="000000"/>
          <w:sz w:val="32"/>
          <w:szCs w:val="32"/>
          <w:lang w:val="en-US" w:eastAsia="zh-CN"/>
        </w:rPr>
        <w:t>印发</w:t>
      </w:r>
      <w:r>
        <w:rPr>
          <w:rFonts w:hint="eastAsia" w:ascii="仿宋" w:hAnsi="仿宋" w:eastAsia="仿宋" w:cs="仿宋"/>
          <w:b w:val="0"/>
          <w:color w:val="000000"/>
          <w:sz w:val="32"/>
          <w:szCs w:val="32"/>
        </w:rPr>
        <w:t>《广西建设职业技术学院加快构建思想政治工作体系若干措施工作台账》等，明确学校各系、各部门责任分工，打通盲区断点，着力构建巩固好“三全育人”工作体系格局，切实把各项工作的重心和目标落脚到立德树人的实效上来，务求取得实质性突破。在实际工作中，不断完善“三全育人”机制体制，健全管理制度，全校“三全育人”的工作意识不断提升、氛围不断浓厚、成效不断显现</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我校获自治区教育厅第一批全区高校“三全育人”综合改革示范校（全区共所6高校入选，系唯一入选的高职院校）。</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101" w:name="_Toc32230"/>
      <w:r>
        <w:rPr>
          <w:rFonts w:hint="eastAsia" w:ascii="仿宋" w:hAnsi="仿宋" w:eastAsia="仿宋" w:cs="仿宋"/>
          <w:b/>
          <w:bCs/>
          <w:color w:val="000000"/>
          <w:sz w:val="32"/>
          <w:szCs w:val="32"/>
          <w:lang w:val="en-US" w:eastAsia="zh-CN"/>
        </w:rPr>
        <w:t>3.凝练校园文化特色，创建自治区文明校园</w:t>
      </w:r>
      <w:bookmarkEnd w:id="101"/>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根据《广西建设职</w:t>
      </w:r>
      <w:r>
        <w:rPr>
          <w:rFonts w:hint="eastAsia" w:ascii="仿宋" w:hAnsi="仿宋" w:eastAsia="仿宋" w:cs="仿宋"/>
          <w:color w:val="000000"/>
          <w:sz w:val="32"/>
          <w:szCs w:val="32"/>
          <w:shd w:val="clear"/>
        </w:rPr>
        <w:t>业技术学院创建自治区文明校园实施方案》</w:t>
      </w:r>
      <w:r>
        <w:rPr>
          <w:rFonts w:hint="eastAsia" w:ascii="仿宋" w:hAnsi="仿宋" w:eastAsia="仿宋" w:cs="仿宋"/>
          <w:color w:val="000000"/>
          <w:sz w:val="32"/>
          <w:szCs w:val="32"/>
          <w:shd w:val="clear"/>
          <w:lang w:val="en-US" w:eastAsia="zh-CN"/>
        </w:rPr>
        <w:t>开展我校</w:t>
      </w:r>
      <w:r>
        <w:rPr>
          <w:rFonts w:hint="eastAsia" w:ascii="仿宋" w:hAnsi="仿宋" w:eastAsia="仿宋" w:cs="仿宋"/>
          <w:color w:val="000000"/>
          <w:sz w:val="32"/>
          <w:szCs w:val="32"/>
          <w:shd w:val="clear"/>
        </w:rPr>
        <w:t>创建自治区文明校园</w:t>
      </w:r>
      <w:r>
        <w:rPr>
          <w:rFonts w:hint="eastAsia" w:ascii="仿宋" w:hAnsi="仿宋" w:eastAsia="仿宋" w:cs="仿宋"/>
          <w:color w:val="000000"/>
          <w:sz w:val="32"/>
          <w:szCs w:val="32"/>
          <w:shd w:val="clear"/>
          <w:lang w:val="en-US" w:eastAsia="zh-CN"/>
        </w:rPr>
        <w:t>活动</w:t>
      </w:r>
      <w:r>
        <w:rPr>
          <w:rFonts w:hint="eastAsia" w:ascii="仿宋" w:hAnsi="仿宋" w:eastAsia="仿宋" w:cs="仿宋"/>
          <w:color w:val="000000"/>
          <w:sz w:val="32"/>
          <w:szCs w:val="32"/>
          <w:shd w:val="clear"/>
        </w:rPr>
        <w:t>，</w:t>
      </w:r>
      <w:r>
        <w:rPr>
          <w:rFonts w:hint="eastAsia" w:ascii="仿宋" w:hAnsi="仿宋" w:eastAsia="仿宋" w:cs="仿宋"/>
          <w:color w:val="000000"/>
          <w:sz w:val="32"/>
          <w:szCs w:val="32"/>
          <w:shd w:val="clear"/>
          <w:lang w:val="en-US" w:eastAsia="zh-CN"/>
        </w:rPr>
        <w:t>开展党史学校教育</w:t>
      </w:r>
      <w:r>
        <w:rPr>
          <w:rFonts w:hint="eastAsia" w:ascii="仿宋" w:hAnsi="仿宋" w:eastAsia="仿宋" w:cs="仿宋"/>
          <w:color w:val="000000"/>
          <w:sz w:val="32"/>
          <w:szCs w:val="32"/>
          <w:shd w:val="clear"/>
        </w:rPr>
        <w:t>主题教育活动，持续建设“弘德育才”学堂项目，积极打造校园“建筑文化”特色品牌，实施“一</w:t>
      </w:r>
      <w:r>
        <w:rPr>
          <w:rFonts w:hint="eastAsia" w:ascii="仿宋" w:hAnsi="仿宋" w:eastAsia="仿宋" w:cs="仿宋"/>
          <w:color w:val="000000"/>
          <w:sz w:val="32"/>
          <w:szCs w:val="32"/>
          <w:shd w:val="clear"/>
          <w:lang w:val="en-US" w:eastAsia="zh-CN"/>
        </w:rPr>
        <w:t>院</w:t>
      </w:r>
      <w:r>
        <w:rPr>
          <w:rFonts w:hint="eastAsia" w:ascii="仿宋" w:hAnsi="仿宋" w:eastAsia="仿宋" w:cs="仿宋"/>
          <w:color w:val="000000"/>
          <w:sz w:val="32"/>
          <w:szCs w:val="32"/>
          <w:shd w:val="clear"/>
        </w:rPr>
        <w:t>一品”建设工程，重点建设“鲁班文化长廊”，改造升级特色品牌《鲁班讲坛》栏目。以系列微视频、音频形式，围绕“说理论”“说政策”“说榜样”“说心理”“说健康”等内容，推出《每周一读》《半月一歌》《梦想朗读者》等一批“网络名篇名作”。探索形成“易班+微信/微博/QQ/抖音”“易班+党建/宿舍文化/传统文化/专业兴趣/学风”的网络新媒体矩阵，获得自治区“优秀易班工作站”称号，入选全国易班共建高校优秀工作案例展示、全国首批四星级易班工作站（目前全国最高星</w:t>
      </w:r>
      <w:r>
        <w:rPr>
          <w:rFonts w:hint="eastAsia" w:ascii="仿宋" w:hAnsi="仿宋" w:eastAsia="仿宋" w:cs="仿宋"/>
          <w:color w:val="000000"/>
          <w:sz w:val="32"/>
          <w:szCs w:val="32"/>
          <w:lang w:val="en-US" w:eastAsia="zh-CN"/>
        </w:rPr>
        <w:t>级，全国共28所高校入选，系广西唯一入选高校）。</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102" w:name="_Toc9393"/>
      <w:r>
        <w:rPr>
          <w:rFonts w:hint="eastAsia" w:ascii="仿宋" w:hAnsi="仿宋" w:eastAsia="仿宋" w:cs="仿宋"/>
          <w:b/>
          <w:bCs/>
          <w:color w:val="000000"/>
          <w:sz w:val="32"/>
          <w:szCs w:val="32"/>
          <w:lang w:val="en-US" w:eastAsia="zh-CN"/>
        </w:rPr>
        <w:t>4.开展校园文化品牌创建活动，加强二级院系校园文化“一系一品”建设</w:t>
      </w:r>
      <w:bookmarkEnd w:id="102"/>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学校广泛开展校</w:t>
      </w:r>
      <w:r>
        <w:rPr>
          <w:rFonts w:hint="eastAsia" w:ascii="仿宋" w:hAnsi="仿宋" w:eastAsia="仿宋" w:cs="仿宋"/>
          <w:color w:val="000000"/>
          <w:sz w:val="32"/>
          <w:szCs w:val="32"/>
        </w:rPr>
        <w:t>园文化品牌建设活动，提升《鲁班讲坛》“科技文化艺术节”“中华经典诵读”“花样广播操大赛”等传统校园文化品牌项目的层次和水平；持续开展大学生志愿者暑期“三下乡”社会实践活动，丰富活动内涵，争创全国高校“三下乡”优秀项目；大力支持学生社团的发展，加强对专业型社团的支持和建设，加大了对大学生艺术团、lion啦啦操队等文艺团体的支持力度，打造校园文化建设新名片。学校高度重视二级院系开展校园文化“一院一品”建设，如土木工程学院的“土木学子规”、建筑与规划学院的“建筑文化节”、设备与环境学院的“三下乡社会实践活动”等等，已初步成为学校校园文化活动的新品牌。积极开展文明校园创建工作，明确分工，落实责任，对标对表《高校文明校园测评体系》开展创建，通过创建活动规范师生行为、</w:t>
      </w:r>
      <w:r>
        <w:rPr>
          <w:rFonts w:hint="eastAsia" w:ascii="仿宋" w:hAnsi="仿宋" w:eastAsia="仿宋" w:cs="仿宋"/>
          <w:color w:val="000000"/>
          <w:sz w:val="32"/>
          <w:szCs w:val="32"/>
          <w:lang w:val="en-US" w:eastAsia="zh-CN"/>
        </w:rPr>
        <w:t>营造文明校园氛围，推进校园文化育人。</w:t>
      </w:r>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103" w:name="_Toc11872"/>
      <w:r>
        <w:rPr>
          <w:rFonts w:hint="default" w:ascii="Times New Roman" w:hAnsi="Times New Roman" w:eastAsia="楷体" w:cs="Times New Roman"/>
          <w:b/>
          <w:bCs/>
          <w:color w:val="auto"/>
          <w:sz w:val="32"/>
          <w:szCs w:val="32"/>
          <w:highlight w:val="none"/>
          <w:lang w:val="en-US" w:eastAsia="zh-CN"/>
        </w:rPr>
        <w:t>（五）内部质量保障</w:t>
      </w:r>
      <w:bookmarkEnd w:id="87"/>
      <w:bookmarkEnd w:id="88"/>
      <w:bookmarkEnd w:id="103"/>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104" w:name="_Toc24336"/>
      <w:bookmarkStart w:id="105" w:name="_Toc2567_WPSOffice_Level3"/>
      <w:bookmarkStart w:id="106" w:name="_Toc437380318"/>
      <w:r>
        <w:rPr>
          <w:rFonts w:hint="eastAsia" w:ascii="仿宋" w:hAnsi="仿宋" w:eastAsia="仿宋" w:cs="仿宋"/>
          <w:b/>
          <w:bCs/>
          <w:color w:val="000000"/>
          <w:sz w:val="32"/>
          <w:szCs w:val="32"/>
          <w:lang w:val="en-US" w:eastAsia="zh-CN"/>
        </w:rPr>
        <w:t>1.持续推进内部质量保证体系</w:t>
      </w:r>
      <w:bookmarkEnd w:id="104"/>
      <w:r>
        <w:rPr>
          <w:rFonts w:hint="eastAsia" w:ascii="仿宋" w:hAnsi="仿宋" w:eastAsia="仿宋" w:cs="仿宋"/>
          <w:b/>
          <w:bCs/>
          <w:color w:val="000000"/>
          <w:sz w:val="32"/>
          <w:szCs w:val="32"/>
          <w:lang w:val="en-US" w:eastAsia="zh-CN"/>
        </w:rPr>
        <w:t>建设</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持续推进内部质量保证体系建设，结合“双高”建设的目标和要求，完善制度层面的质量管理体系和操作层面的任务体系，找准难点，制定了分年度引入第三方参与学校教育管理评价计划，借助第三方发力，全面激活诊改工作；持续完善相关制度建设，《教育质量鲁班奖评选办法》已完成规范性文件征求意见，计划2022年实施；整合各相关部门意见建议进一步梳理了各层面诊断指标；组织诊改培训并编制发放学习资料，提升了全员质量意识；组织开展各层面自我诊断与改进，汇编各层面自诊报告和相关制度，有助于促进学校内部质量提升和组织管理优化；持续推进教学质量监控评价，建立并运行信息化督导系统和智慧评价系统，实现了多方手机端实时评价、评价结果动态分析、问题反馈及时预警等，形成了教学质量评价一体化信息化体系；2020年11月</w:t>
      </w:r>
      <w:r>
        <w:rPr>
          <w:rFonts w:hint="eastAsia" w:ascii="仿宋" w:hAnsi="仿宋" w:eastAsia="仿宋" w:cs="仿宋"/>
          <w:color w:val="000000"/>
          <w:sz w:val="32"/>
          <w:szCs w:val="32"/>
          <w:lang w:eastAsia="zh-CN"/>
        </w:rPr>
        <w:t>学校诊改工作成功入选全国职业院校教学工作诊断与改</w:t>
      </w:r>
      <w:r>
        <w:rPr>
          <w:rFonts w:hint="eastAsia" w:ascii="仿宋" w:hAnsi="仿宋" w:eastAsia="仿宋" w:cs="仿宋"/>
          <w:color w:val="000000"/>
          <w:sz w:val="32"/>
          <w:szCs w:val="32"/>
          <w:lang w:val="en-US" w:eastAsia="zh-CN"/>
        </w:rPr>
        <w:t>进制度建设优秀案例。</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107" w:name="_Toc19451"/>
      <w:r>
        <w:rPr>
          <w:rFonts w:hint="eastAsia" w:ascii="仿宋" w:hAnsi="仿宋" w:eastAsia="仿宋" w:cs="仿宋"/>
          <w:b/>
          <w:bCs/>
          <w:color w:val="000000"/>
          <w:sz w:val="32"/>
          <w:szCs w:val="32"/>
          <w:lang w:val="en-US" w:eastAsia="zh-CN"/>
        </w:rPr>
        <w:t>2.完善质量管理监控机制和评价制度</w:t>
      </w:r>
      <w:bookmarkEnd w:id="105"/>
      <w:bookmarkEnd w:id="107"/>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持续改进教学过程监控信息化水平，建立了督导听评课系统和智慧评价系统，通过对接学期课表使用手机端现场提交听课单的方式，有效提高听评课效率和听课质量，不断完善督导听评课管理；建设智慧评价系统，设定满意度测评、学生评教、师德师风测评、班主任测评、辅导员测评、教师互评等模块，根据动态需求适时增减评价内容，测评结果实时报告、预警，实现实时、动态、全面、综合智慧评价。在教学督导方面学生评教率持续提升，2020-2021学年全校学生评教率为95.10%较上一学年提高了27.38%，专任教师工作业绩考核结果优秀率41.88%，行政兼课教师工作业绩考核结果优秀率87.98%，教师业绩考核平均分达93分。同时，严格按照教育部和自治区教育厅相关文件要求按时按质地完成开学专项督查，做好教育事业统计、人才培养工作状态数据采集与职业教育质量年度报告编制、发布和报送等工作；引入第三方评价，与麦克思合作开展学生成长检测评估工作，以优化学校内部质量保障体系的建设。  </w:t>
      </w:r>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108" w:name="_Toc4024"/>
      <w:r>
        <w:rPr>
          <w:rFonts w:hint="default" w:ascii="Times New Roman" w:hAnsi="Times New Roman" w:eastAsia="楷体" w:cs="Times New Roman"/>
          <w:b/>
          <w:bCs/>
          <w:color w:val="auto"/>
          <w:sz w:val="32"/>
          <w:szCs w:val="32"/>
          <w:highlight w:val="none"/>
          <w:lang w:val="en-US" w:eastAsia="zh-CN"/>
        </w:rPr>
        <w:t>（六）经费投入与支出</w:t>
      </w:r>
    </w:p>
    <w:bookmarkEnd w:id="108"/>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val="0"/>
          <w:bCs w:val="0"/>
          <w:color w:val="000000"/>
          <w:kern w:val="2"/>
          <w:sz w:val="32"/>
          <w:szCs w:val="32"/>
          <w:lang w:val="en-US" w:eastAsia="zh-CN" w:bidi="ar-SA"/>
        </w:rPr>
      </w:pPr>
      <w:bookmarkStart w:id="109" w:name="_Toc20150"/>
      <w:r>
        <w:rPr>
          <w:rFonts w:hint="eastAsia" w:ascii="仿宋" w:hAnsi="仿宋" w:eastAsia="仿宋" w:cs="仿宋"/>
          <w:color w:val="000000"/>
          <w:sz w:val="32"/>
          <w:szCs w:val="32"/>
          <w:lang w:val="en-US" w:eastAsia="zh-CN"/>
        </w:rPr>
        <w:t>2020年度，学校总收入51,149.61万元，其中学费收入15,069.98万元，一般公共预</w:t>
      </w:r>
      <w:r>
        <w:rPr>
          <w:rFonts w:hint="eastAsia" w:ascii="仿宋" w:hAnsi="仿宋" w:eastAsia="仿宋" w:cs="仿宋"/>
          <w:b w:val="0"/>
          <w:bCs w:val="0"/>
          <w:color w:val="000000"/>
          <w:kern w:val="2"/>
          <w:sz w:val="32"/>
          <w:szCs w:val="32"/>
          <w:lang w:val="en-US" w:eastAsia="zh-CN" w:bidi="ar-SA"/>
        </w:rPr>
        <w:t>算财政拨款收入32,075.48万元，政府性基金预算财政拨款收入4000万元，其他收入4.15万元。学校总支出50,264.09万元，其中用于日常教学经费190.69万元；教学改革及科研经费1085.24万元；全校差旅费224.44万元，培训费101.74万元（含行政人员），图书购置费184.12万元；教学仪器设备采购投入2117.62万元，基础设施建设4129.98万元。</w:t>
      </w:r>
      <w:bookmarkEnd w:id="109"/>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黑体" w:cs="Times New Roman"/>
          <w:b/>
          <w:bCs/>
          <w:color w:val="auto"/>
          <w:sz w:val="32"/>
          <w:szCs w:val="32"/>
          <w:highlight w:val="none"/>
          <w:lang w:val="en-US" w:eastAsia="zh-CN"/>
        </w:rPr>
      </w:pPr>
      <w:bookmarkStart w:id="110" w:name="_Toc13840"/>
      <w:r>
        <w:rPr>
          <w:rFonts w:hint="default" w:ascii="Times New Roman" w:hAnsi="Times New Roman" w:eastAsia="黑体" w:cs="Times New Roman"/>
          <w:b/>
          <w:bCs/>
          <w:color w:val="auto"/>
          <w:sz w:val="32"/>
          <w:szCs w:val="32"/>
          <w:highlight w:val="none"/>
          <w:lang w:val="en-US" w:eastAsia="zh-CN"/>
        </w:rPr>
        <w:t>五、国际交流与合作</w:t>
      </w:r>
      <w:bookmarkEnd w:id="110"/>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楷体" w:cs="Times New Roman"/>
          <w:b/>
          <w:bCs/>
          <w:color w:val="auto"/>
          <w:sz w:val="32"/>
          <w:szCs w:val="32"/>
          <w:highlight w:val="none"/>
          <w:lang w:val="en-US" w:eastAsia="zh-CN"/>
        </w:rPr>
      </w:pPr>
      <w:bookmarkStart w:id="111" w:name="_Toc2614"/>
      <w:r>
        <w:rPr>
          <w:rFonts w:hint="default" w:ascii="Times New Roman" w:hAnsi="Times New Roman" w:eastAsia="楷体" w:cs="Times New Roman"/>
          <w:b/>
          <w:bCs/>
          <w:color w:val="auto"/>
          <w:sz w:val="32"/>
          <w:szCs w:val="32"/>
          <w:highlight w:val="none"/>
          <w:lang w:val="en-US" w:eastAsia="zh-CN"/>
        </w:rPr>
        <w:t>（一）借力拓宽合作领域，唱好国际化建设大戏</w:t>
      </w:r>
      <w:bookmarkEnd w:id="111"/>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shd w:val="clear"/>
        </w:rPr>
      </w:pPr>
      <w:r>
        <w:rPr>
          <w:rFonts w:hint="eastAsia" w:ascii="仿宋" w:hAnsi="仿宋" w:eastAsia="仿宋" w:cs="仿宋"/>
          <w:color w:val="000000"/>
          <w:sz w:val="32"/>
          <w:szCs w:val="32"/>
          <w:lang w:val="en-US" w:eastAsia="zh-CN"/>
        </w:rPr>
        <w:t>2021年9月我校</w:t>
      </w:r>
      <w:r>
        <w:rPr>
          <w:rFonts w:hint="eastAsia" w:ascii="仿宋" w:hAnsi="仿宋" w:eastAsia="仿宋" w:cs="仿宋"/>
          <w:color w:val="000000"/>
          <w:sz w:val="32"/>
          <w:szCs w:val="32"/>
          <w:shd w:val="clear"/>
        </w:rPr>
        <w:t>作为主会场继续协办两年一届的中国—东盟职业教育联展暨论坛活动，东盟政府官员以及包括东盟国家在内的110所境外高校专家、学者通过线上线下的形式，围绕“技能让生活更美好”主题共商职业教育大计。国内外领导嘉宾对我校的办会水平和服务水平予以高度评价。</w:t>
      </w:r>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仿宋_GB2312" w:cs="Times New Roman"/>
          <w:color w:val="auto"/>
          <w:sz w:val="32"/>
          <w:szCs w:val="32"/>
          <w:highlight w:val="none"/>
          <w:lang w:val="en-US" w:eastAsia="zh-CN"/>
        </w:rPr>
      </w:pPr>
      <w:r>
        <w:rPr>
          <w:rFonts w:hint="eastAsia" w:ascii="仿宋" w:hAnsi="仿宋" w:eastAsia="仿宋" w:cs="仿宋"/>
          <w:color w:val="000000"/>
          <w:sz w:val="32"/>
          <w:szCs w:val="32"/>
          <w:shd w:val="clear"/>
        </w:rPr>
        <w:t>借助这一高规格的交流平台，我校与柬埔寨国家技能培训学院签订合作框架协议，商定将在专业教育、课程建设、联合科研、跨境培训以及师生双向交流等方面开展深度合作。会议期间，我校还在东盟教育官员的见证下，正式挂牌成立</w:t>
      </w:r>
      <w:r>
        <w:rPr>
          <w:rFonts w:hint="eastAsia" w:ascii="仿宋" w:hAnsi="仿宋" w:eastAsia="仿宋" w:cs="仿宋"/>
          <w:color w:val="000000"/>
          <w:sz w:val="32"/>
          <w:szCs w:val="32"/>
        </w:rPr>
        <w:t>“中国</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东盟建筑职业教育研究院”，建设“</w:t>
      </w:r>
      <w:r>
        <w:rPr>
          <w:rFonts w:hint="eastAsia" w:ascii="仿宋" w:hAnsi="仿宋" w:eastAsia="仿宋" w:cs="仿宋"/>
          <w:bCs w:val="0"/>
          <w:color w:val="000000"/>
          <w:sz w:val="32"/>
          <w:szCs w:val="32"/>
        </w:rPr>
        <w:t>中国</w:t>
      </w:r>
      <w:r>
        <w:rPr>
          <w:rFonts w:hint="eastAsia" w:ascii="仿宋" w:hAnsi="仿宋" w:eastAsia="仿宋" w:cs="仿宋"/>
          <w:bCs w:val="0"/>
          <w:color w:val="000000"/>
          <w:sz w:val="32"/>
          <w:szCs w:val="32"/>
          <w:lang w:eastAsia="zh-CN"/>
        </w:rPr>
        <w:t>－</w:t>
      </w:r>
      <w:r>
        <w:rPr>
          <w:rFonts w:hint="eastAsia" w:ascii="仿宋" w:hAnsi="仿宋" w:eastAsia="仿宋" w:cs="仿宋"/>
          <w:bCs w:val="0"/>
          <w:color w:val="000000"/>
          <w:sz w:val="32"/>
          <w:szCs w:val="32"/>
        </w:rPr>
        <w:t>东盟建设</w:t>
      </w:r>
      <w:r>
        <w:rPr>
          <w:rFonts w:hint="eastAsia" w:ascii="仿宋" w:hAnsi="仿宋" w:eastAsia="仿宋" w:cs="仿宋"/>
          <w:color w:val="000000"/>
          <w:sz w:val="32"/>
          <w:szCs w:val="32"/>
          <w:lang w:val="en-US" w:eastAsia="zh-CN"/>
        </w:rPr>
        <w:t>人才培训中心”，拉开全面推进与东盟职教领域对接的序幕。</w:t>
      </w:r>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楷体" w:cs="Times New Roman"/>
          <w:b/>
          <w:bCs/>
          <w:color w:val="auto"/>
          <w:sz w:val="32"/>
          <w:szCs w:val="32"/>
          <w:highlight w:val="none"/>
          <w:lang w:val="en-US" w:eastAsia="zh-CN"/>
        </w:rPr>
      </w:pPr>
      <w:bookmarkStart w:id="112" w:name="_Toc18840"/>
      <w:r>
        <w:rPr>
          <w:rFonts w:hint="default" w:ascii="Times New Roman" w:hAnsi="Times New Roman" w:eastAsia="楷体" w:cs="Times New Roman"/>
          <w:b/>
          <w:bCs/>
          <w:color w:val="auto"/>
          <w:sz w:val="32"/>
          <w:szCs w:val="32"/>
          <w:highlight w:val="none"/>
          <w:lang w:val="en-US" w:eastAsia="zh-CN"/>
        </w:rPr>
        <w:t>（二）重视合作办学项目的提质增效，推进人才培养国际化</w:t>
      </w:r>
      <w:bookmarkEnd w:id="112"/>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2021级中</w:t>
      </w:r>
      <w:r>
        <w:rPr>
          <w:rFonts w:hint="eastAsia" w:ascii="仿宋" w:hAnsi="仿宋" w:eastAsia="仿宋" w:cs="仿宋"/>
          <w:color w:val="000000"/>
          <w:sz w:val="32"/>
          <w:szCs w:val="32"/>
        </w:rPr>
        <w:t>外合作办学项目（中美、中新）招生共计139人。年中，自治区教育厅委托中国国际交流学会对全区所有的合作办学项目和机构进行调研，对我校在运行两个项目进行了全面的线上检查。在充分肯定了我校两个项目所取得的成绩后，也提出了中肯的改进意见。我校拟定了整改计划和推进</w:t>
      </w:r>
      <w:r>
        <w:rPr>
          <w:rFonts w:hint="eastAsia" w:ascii="仿宋" w:hAnsi="仿宋" w:eastAsia="仿宋" w:cs="仿宋"/>
          <w:color w:val="000000"/>
          <w:sz w:val="32"/>
          <w:szCs w:val="32"/>
          <w:lang w:val="en-US" w:eastAsia="zh-CN"/>
        </w:rPr>
        <w:t>时间表，努力提高办学质量。</w:t>
      </w:r>
    </w:p>
    <w:p>
      <w:pPr>
        <w:pageBreakBefore w:val="0"/>
        <w:numPr>
          <w:ilvl w:val="0"/>
          <w:numId w:val="0"/>
        </w:numPr>
        <w:kinsoku/>
        <w:wordWrap/>
        <w:overflowPunct/>
        <w:topLinePunct w:val="0"/>
        <w:bidi w:val="0"/>
        <w:spacing w:line="560" w:lineRule="exact"/>
        <w:ind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113" w:name="_Toc2213"/>
      <w:r>
        <w:rPr>
          <w:rFonts w:hint="default" w:ascii="Times New Roman" w:hAnsi="Times New Roman" w:eastAsia="楷体" w:cs="Times New Roman"/>
          <w:b/>
          <w:bCs/>
          <w:color w:val="auto"/>
          <w:sz w:val="32"/>
          <w:szCs w:val="32"/>
          <w:highlight w:val="none"/>
          <w:lang w:val="en-US" w:eastAsia="zh-CN"/>
        </w:rPr>
        <w:t>（三）加快推进专业国际化认证，增加优势专业的含金量和价值</w:t>
      </w:r>
      <w:bookmarkEnd w:id="113"/>
    </w:p>
    <w:p>
      <w:pPr>
        <w:pageBreakBefore w:val="0"/>
        <w:numPr>
          <w:ilvl w:val="-1"/>
          <w:numId w:val="0"/>
        </w:numPr>
        <w:kinsoku/>
        <w:wordWrap/>
        <w:overflowPunct/>
        <w:topLinePunct w:val="0"/>
        <w:bidi w:val="0"/>
        <w:spacing w:line="560" w:lineRule="exact"/>
        <w:ind w:right="0" w:rightChars="0" w:firstLine="600" w:firstLineChars="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本年度，通过英</w:t>
      </w:r>
      <w:r>
        <w:rPr>
          <w:rFonts w:hint="eastAsia" w:ascii="仿宋" w:hAnsi="仿宋" w:eastAsia="仿宋" w:cs="仿宋"/>
          <w:bCs w:val="0"/>
          <w:color w:val="000000"/>
          <w:sz w:val="32"/>
          <w:szCs w:val="32"/>
        </w:rPr>
        <w:t>国国家学历学位评估认证中心（UKENIC）开展的建筑工程技术、建设管理专业的国际资历评估工作已完成远程专家复审，认证中心即将出具评估报告和整改建议，之后我校两个“双高”专业将在国际资历框架下，通过东南亚教育部长联盟平台（SEAMO）与东盟国家同类院校进行深</w:t>
      </w:r>
      <w:r>
        <w:rPr>
          <w:rFonts w:hint="eastAsia" w:ascii="仿宋" w:hAnsi="仿宋" w:eastAsia="仿宋" w:cs="仿宋"/>
          <w:color w:val="000000"/>
          <w:sz w:val="32"/>
          <w:szCs w:val="32"/>
          <w:lang w:val="en-US" w:eastAsia="zh-CN"/>
        </w:rPr>
        <w:t>度合作。</w:t>
      </w:r>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114" w:name="_Toc469"/>
      <w:r>
        <w:rPr>
          <w:rFonts w:hint="default" w:ascii="Times New Roman" w:hAnsi="Times New Roman" w:eastAsia="楷体" w:cs="Times New Roman"/>
          <w:b/>
          <w:bCs/>
          <w:color w:val="auto"/>
          <w:sz w:val="32"/>
          <w:szCs w:val="32"/>
          <w:highlight w:val="none"/>
          <w:lang w:val="en-US" w:eastAsia="zh-CN"/>
        </w:rPr>
        <w:t>（四）加大对外宣传的力度，扩大我校在东盟国家的知名度</w:t>
      </w:r>
      <w:bookmarkEnd w:id="114"/>
    </w:p>
    <w:p>
      <w:pPr>
        <w:pageBreakBefore w:val="0"/>
        <w:numPr>
          <w:ilvl w:val="0"/>
          <w:numId w:val="0"/>
        </w:numPr>
        <w:kinsoku/>
        <w:wordWrap/>
        <w:overflowPunct/>
        <w:topLinePunct w:val="0"/>
        <w:bidi w:val="0"/>
        <w:spacing w:line="560" w:lineRule="exact"/>
        <w:ind w:left="0" w:leftChars="0" w:right="0" w:rightChars="0" w:firstLine="600" w:firstLineChars="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克服新冠疫情对</w:t>
      </w:r>
      <w:r>
        <w:rPr>
          <w:rFonts w:hint="eastAsia" w:ascii="仿宋" w:hAnsi="仿宋" w:eastAsia="仿宋" w:cs="仿宋"/>
          <w:color w:val="000000"/>
          <w:sz w:val="32"/>
          <w:szCs w:val="32"/>
        </w:rPr>
        <w:t>全球国际教育的严重影响，提高线上沟通交流的效率，招收知华友华爱华的国际留学生。继2020年实现国际留学生招收实现零突破之后，2021年</w:t>
      </w:r>
      <w:r>
        <w:rPr>
          <w:rFonts w:hint="eastAsia" w:ascii="仿宋" w:hAnsi="仿宋" w:eastAsia="仿宋" w:cs="仿宋"/>
          <w:color w:val="000000"/>
          <w:kern w:val="2"/>
          <w:sz w:val="32"/>
          <w:szCs w:val="32"/>
        </w:rPr>
        <w:t>招收了7名马来西亚籍国际留学生，全额完成了自治区教育厅给我校下达的招收广西政府东盟奖学金生的工作。委派政治过硬、教学水平高、服务意识好的专任教师及辅导员通过网络开展远</w:t>
      </w:r>
      <w:r>
        <w:rPr>
          <w:rFonts w:hint="eastAsia" w:ascii="仿宋" w:hAnsi="仿宋" w:eastAsia="仿宋" w:cs="仿宋"/>
          <w:color w:val="000000"/>
          <w:sz w:val="32"/>
          <w:szCs w:val="32"/>
          <w:lang w:val="en-US" w:eastAsia="zh-CN"/>
        </w:rPr>
        <w:t>程教育教学工作，留学生获得感高，反馈良好。</w:t>
      </w:r>
    </w:p>
    <w:p>
      <w:pPr>
        <w:pageBreakBefore w:val="0"/>
        <w:kinsoku/>
        <w:wordWrap/>
        <w:overflowPunct/>
        <w:topLinePunct w:val="0"/>
        <w:bidi w:val="0"/>
        <w:spacing w:line="560" w:lineRule="exact"/>
        <w:ind w:left="0" w:leftChars="0" w:right="0" w:rightChars="0" w:firstLine="600"/>
        <w:textAlignment w:val="auto"/>
        <w:rPr>
          <w:rFonts w:hint="default" w:ascii="Times New Roman" w:hAnsi="Times New Roman" w:eastAsia="黑体" w:cs="Times New Roman"/>
          <w:b/>
          <w:bCs/>
          <w:color w:val="auto"/>
          <w:sz w:val="32"/>
          <w:szCs w:val="32"/>
          <w:highlight w:val="none"/>
          <w:lang w:val="en-US" w:eastAsia="zh-CN"/>
        </w:rPr>
      </w:pPr>
      <w:bookmarkStart w:id="115" w:name="_Toc10605"/>
      <w:r>
        <w:rPr>
          <w:rFonts w:hint="default" w:ascii="Times New Roman" w:hAnsi="Times New Roman" w:eastAsia="黑体" w:cs="Times New Roman"/>
          <w:b/>
          <w:bCs/>
          <w:color w:val="auto"/>
          <w:sz w:val="32"/>
          <w:szCs w:val="32"/>
          <w:highlight w:val="none"/>
          <w:lang w:val="en-US" w:eastAsia="zh-CN"/>
        </w:rPr>
        <w:t>六、服务贡献</w:t>
      </w:r>
      <w:bookmarkEnd w:id="115"/>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116" w:name="_Toc5787"/>
      <w:r>
        <w:rPr>
          <w:rFonts w:hint="default" w:ascii="Times New Roman" w:hAnsi="Times New Roman" w:eastAsia="楷体" w:cs="Times New Roman"/>
          <w:b/>
          <w:bCs/>
          <w:color w:val="auto"/>
          <w:sz w:val="32"/>
          <w:szCs w:val="32"/>
          <w:highlight w:val="none"/>
          <w:lang w:val="en-US" w:eastAsia="zh-CN"/>
        </w:rPr>
        <w:t>（一）服务国家战略情况</w:t>
      </w:r>
      <w:bookmarkEnd w:id="116"/>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117" w:name="_Toc2784"/>
      <w:r>
        <w:rPr>
          <w:rFonts w:hint="eastAsia" w:ascii="仿宋" w:hAnsi="仿宋" w:eastAsia="仿宋" w:cs="仿宋"/>
          <w:b/>
          <w:bCs/>
          <w:color w:val="000000"/>
          <w:sz w:val="32"/>
          <w:szCs w:val="32"/>
          <w:lang w:val="en-US" w:eastAsia="zh-CN"/>
        </w:rPr>
        <w:t>1.对口支援</w:t>
      </w:r>
      <w:bookmarkEnd w:id="117"/>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与桂林建昌建设有限公司共同成立广西高职院校首个企业全资订单班——“建</w:t>
      </w:r>
      <w:r>
        <w:rPr>
          <w:rFonts w:hint="eastAsia" w:ascii="仿宋" w:hAnsi="仿宋" w:eastAsia="仿宋" w:cs="仿宋"/>
          <w:color w:val="000000"/>
          <w:kern w:val="2"/>
          <w:sz w:val="32"/>
          <w:szCs w:val="32"/>
        </w:rPr>
        <w:t>昌班”。“建昌班”首届学生以2019级“精准脱贫”录取批次建筑工程技术专业的新生为主，全班100%均为贫困生，其中87%为特困生，由桂林建昌建设有限公司全额资助其3年学费、生活费及奖学金费用。继“建昌班”之后，我校与广西众泰建筑工程发展有限公司深化“建昌班”合作办学模式，共同开办现代学徒制试点班，这是我校深入开展校企合作的又一创新举措，既深化了校企合作培养人才，又发挥学校优势，创出了精准扶贫新路子。2021年，</w:t>
      </w:r>
      <w:r>
        <w:rPr>
          <w:rFonts w:hint="eastAsia" w:ascii="仿宋" w:hAnsi="仿宋" w:eastAsia="仿宋" w:cs="仿宋"/>
          <w:color w:val="000000"/>
          <w:sz w:val="32"/>
          <w:szCs w:val="32"/>
          <w:lang w:val="en-US" w:eastAsia="zh-CN"/>
        </w:rPr>
        <w:t>我校第三个企业资助全额学费“建昌市政班”开始招生。</w:t>
      </w:r>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b/>
          <w:bCs/>
          <w:color w:val="000000"/>
          <w:sz w:val="32"/>
          <w:szCs w:val="32"/>
          <w:lang w:val="en-US" w:eastAsia="zh-CN"/>
        </w:rPr>
      </w:pPr>
      <w:bookmarkStart w:id="118" w:name="_Toc919"/>
      <w:r>
        <w:rPr>
          <w:rFonts w:hint="eastAsia" w:ascii="仿宋" w:hAnsi="仿宋" w:eastAsia="仿宋" w:cs="仿宋"/>
          <w:b/>
          <w:bCs/>
          <w:color w:val="000000"/>
          <w:sz w:val="32"/>
          <w:szCs w:val="32"/>
          <w:lang w:val="en-US" w:eastAsia="zh-CN"/>
        </w:rPr>
        <w:t>2.乡村振兴</w:t>
      </w:r>
      <w:bookmarkEnd w:id="118"/>
    </w:p>
    <w:p>
      <w:pPr>
        <w:pageBreakBefore w:val="0"/>
        <w:kinsoku/>
        <w:wordWrap/>
        <w:overflowPunct/>
        <w:topLinePunct w:val="0"/>
        <w:bidi w:val="0"/>
        <w:spacing w:line="560" w:lineRule="exact"/>
        <w:ind w:left="0" w:leftChars="0" w:right="0" w:rightChars="0" w:firstLine="6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校始终将巩固脱贫攻坚成果与推进乡村振兴工作作为第一政治任务、民生工程、一把手工程，摆在重要议事日程，不断压实乡村振兴工作责任，进一步发挥基层党组织和党员干部队伍在巩固脱贫攻坚成果与乡村振兴有效衔接中的引领作用，有力推进乡村振兴工作，形成学校领导亲自部署推进、党总支结对帮扶村、干部结对帮扶到户的工作格局。2021年5月在全区脱贫攻坚表彰大会上我校韦可山同志被自治区党委、政府授予“全区脱贫攻坚先进个人”荣誉称号。</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7380"/>
        </w:tabs>
        <w:kinsoku/>
        <w:wordWrap/>
        <w:overflowPunct/>
        <w:topLinePunct w:val="0"/>
        <w:bidi w:val="0"/>
        <w:spacing w:before="0" w:beforeAutospacing="0" w:after="0" w:afterAutospacing="0" w:line="560" w:lineRule="exact"/>
        <w:ind w:right="0" w:rightChars="0" w:firstLine="320" w:firstLineChars="1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（1）加大经费投入。</w:t>
      </w:r>
      <w:r>
        <w:rPr>
          <w:rFonts w:hint="eastAsia" w:ascii="仿宋" w:hAnsi="仿宋" w:eastAsia="仿宋" w:cs="仿宋"/>
          <w:color w:val="000000"/>
          <w:kern w:val="2"/>
          <w:sz w:val="32"/>
          <w:szCs w:val="32"/>
          <w:lang w:val="en-US" w:eastAsia="zh-CN" w:bidi="ar-SA"/>
        </w:rPr>
        <w:t>支持各帮扶村推进产业发展和基础设施建设。我校立足定点帮扶村的资源优势和产业基础，扎实推进产业发展，大力培育专业合作社等新型农业经营主体，提升村集体经济可持续发展能力，增强产业发展竞争力。在2020年投入帮扶资金90万元的基础上，2021年又安排帮扶资金100万元，</w:t>
      </w:r>
      <w:r>
        <w:rPr>
          <w:rFonts w:hint="eastAsia" w:ascii="仿宋" w:hAnsi="仿宋" w:eastAsia="仿宋" w:cs="仿宋"/>
          <w:color w:val="000000"/>
          <w:sz w:val="32"/>
          <w:szCs w:val="32"/>
        </w:rPr>
        <w:t>根据帮扶村</w:t>
      </w:r>
      <w:r>
        <w:rPr>
          <w:rFonts w:hint="eastAsia" w:ascii="仿宋" w:hAnsi="仿宋" w:eastAsia="仿宋" w:cs="仿宋"/>
          <w:color w:val="000000"/>
          <w:sz w:val="32"/>
          <w:szCs w:val="32"/>
          <w:lang w:val="en-US" w:eastAsia="zh-CN"/>
        </w:rPr>
        <w:t>基础设施建设和</w:t>
      </w:r>
      <w:r>
        <w:rPr>
          <w:rFonts w:hint="eastAsia" w:ascii="仿宋" w:hAnsi="仿宋" w:eastAsia="仿宋" w:cs="仿宋"/>
          <w:color w:val="000000"/>
          <w:sz w:val="32"/>
          <w:szCs w:val="32"/>
        </w:rPr>
        <w:t>产业发展计划，进一步加大帮扶力度</w:t>
      </w:r>
      <w:r>
        <w:rPr>
          <w:rFonts w:hint="eastAsia" w:ascii="仿宋" w:hAnsi="仿宋" w:eastAsia="仿宋" w:cs="仿宋"/>
          <w:color w:val="000000"/>
          <w:sz w:val="32"/>
          <w:szCs w:val="32"/>
          <w:lang w:eastAsia="zh-CN"/>
        </w:rPr>
        <w:t>，</w:t>
      </w:r>
      <w:r>
        <w:rPr>
          <w:rFonts w:hint="eastAsia" w:ascii="仿宋" w:hAnsi="仿宋" w:eastAsia="仿宋" w:cs="仿宋"/>
          <w:color w:val="000000"/>
          <w:kern w:val="2"/>
          <w:sz w:val="32"/>
          <w:szCs w:val="32"/>
          <w:lang w:val="en-US" w:eastAsia="zh-CN" w:bidi="ar-SA"/>
        </w:rPr>
        <w:t>支持、指导定点帮扶村建设一批养殖场，提升乡村道路亮化建设，帮扶困难群众种桑养蚕，推广良种油茶、山葡萄、核桃种植。</w:t>
      </w:r>
    </w:p>
    <w:p>
      <w:pPr>
        <w:keepNext w:val="0"/>
        <w:keepLines w:val="0"/>
        <w:pageBreakBefore w:val="0"/>
        <w:numPr>
          <w:ilvl w:val="0"/>
          <w:numId w:val="0"/>
        </w:numPr>
        <w:kinsoku/>
        <w:wordWrap/>
        <w:overflowPunct/>
        <w:topLinePunct w:val="0"/>
        <w:bidi w:val="0"/>
        <w:spacing w:beforeAutospacing="0" w:afterAutospacing="0" w:line="560" w:lineRule="exact"/>
        <w:ind w:left="0" w:leftChars="0" w:firstLine="320" w:firstLineChars="100"/>
        <w:textAlignment w:val="auto"/>
        <w:rPr>
          <w:rFonts w:hint="eastAsia" w:ascii="仿宋" w:hAnsi="仿宋" w:eastAsia="仿宋" w:cs="仿宋"/>
          <w:color w:val="000000"/>
          <w:sz w:val="32"/>
          <w:szCs w:val="32"/>
        </w:rPr>
      </w:pPr>
      <w:r>
        <w:rPr>
          <w:rFonts w:hint="eastAsia" w:ascii="仿宋" w:hAnsi="仿宋" w:eastAsia="仿宋" w:cs="仿宋"/>
          <w:b w:val="0"/>
          <w:bCs w:val="0"/>
          <w:color w:val="000000"/>
          <w:kern w:val="2"/>
          <w:sz w:val="32"/>
          <w:szCs w:val="32"/>
          <w:lang w:val="en-US" w:eastAsia="zh-CN" w:bidi="ar-SA"/>
        </w:rPr>
        <w:t>（2）</w:t>
      </w:r>
      <w:r>
        <w:rPr>
          <w:rFonts w:hint="eastAsia" w:ascii="仿宋" w:hAnsi="仿宋" w:eastAsia="仿宋" w:cs="仿宋"/>
          <w:b w:val="0"/>
          <w:bCs w:val="0"/>
          <w:color w:val="000000"/>
          <w:sz w:val="32"/>
          <w:szCs w:val="32"/>
        </w:rPr>
        <w:t>做好驻村工作队员轮换工作。</w:t>
      </w:r>
      <w:r>
        <w:rPr>
          <w:rFonts w:hint="eastAsia" w:ascii="仿宋" w:hAnsi="仿宋" w:eastAsia="仿宋" w:cs="仿宋"/>
          <w:b w:val="0"/>
          <w:bCs w:val="0"/>
          <w:color w:val="000000"/>
          <w:sz w:val="32"/>
          <w:szCs w:val="32"/>
          <w:lang w:val="en-US" w:eastAsia="zh-CN"/>
        </w:rPr>
        <w:t>一是</w:t>
      </w:r>
      <w:r>
        <w:rPr>
          <w:rFonts w:hint="eastAsia" w:ascii="仿宋" w:hAnsi="仿宋" w:eastAsia="仿宋" w:cs="仿宋"/>
          <w:color w:val="000000"/>
          <w:sz w:val="32"/>
          <w:szCs w:val="32"/>
        </w:rPr>
        <w:t>通过深入动员、严格审核，新选派6名乡村振兴工作队员，对老队员实施轮换工作。二是继续关心支持驻村干部工作和生活。落实驻村干部的基本生活保障工作，及时为驻村干部购买人身保险，安排体检，落实住所，使驻村干部安心在一线工作，扎实推进乡村振兴。</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7380"/>
        </w:tabs>
        <w:kinsoku/>
        <w:wordWrap/>
        <w:overflowPunct/>
        <w:topLinePunct w:val="0"/>
        <w:bidi w:val="0"/>
        <w:spacing w:before="0" w:beforeAutospacing="0" w:after="0" w:afterAutospacing="0" w:line="560" w:lineRule="exact"/>
        <w:ind w:right="0" w:rightChars="0" w:firstLine="320" w:firstLineChars="1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（3）大力开展消费帮扶工作。</w:t>
      </w:r>
      <w:r>
        <w:rPr>
          <w:rFonts w:hint="eastAsia" w:ascii="仿宋" w:hAnsi="仿宋" w:eastAsia="仿宋" w:cs="仿宋"/>
          <w:color w:val="000000"/>
          <w:kern w:val="2"/>
          <w:sz w:val="32"/>
          <w:szCs w:val="32"/>
          <w:lang w:val="en-US" w:eastAsia="zh-CN" w:bidi="ar-SA"/>
        </w:rPr>
        <w:t>2021年学校从定点帮扶县采购了牛肉、大米等帮扶农产品直供食堂；并在学校食堂设立帮扶农产品销售专柜，积极发动广大教师职工优先选购帮扶地区农产品。在同等条件下优先采购帮扶地区农产品，积极使用采购的帮扶地区农产品作为职工工会福利。截至目前，采购帮扶产品共计89.8余万元，帮扶产品占重大节日慰问品采购金额的100%。学校食堂采购帮扶产品共计50.7万元，进一步激发帮扶地区自力更生发展产业实现乡村振兴的积极性。</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560" w:lineRule="exact"/>
        <w:ind w:right="0" w:rightChars="0" w:firstLine="320" w:firstLineChars="100"/>
        <w:jc w:val="both"/>
        <w:textAlignment w:val="auto"/>
        <w:rPr>
          <w:rFonts w:hint="eastAsia" w:ascii="仿宋" w:hAnsi="仿宋" w:eastAsia="仿宋" w:cs="仿宋"/>
          <w:b w:val="0"/>
          <w:bCs w:val="0"/>
          <w:color w:val="000000"/>
          <w:kern w:val="2"/>
          <w:sz w:val="32"/>
          <w:szCs w:val="32"/>
          <w:lang w:val="en-US" w:eastAsia="zh-CN"/>
        </w:rPr>
      </w:pPr>
      <w:r>
        <w:rPr>
          <w:rFonts w:hint="eastAsia" w:ascii="仿宋" w:hAnsi="仿宋" w:eastAsia="仿宋" w:cs="仿宋"/>
          <w:b w:val="0"/>
          <w:bCs w:val="0"/>
          <w:color w:val="000000"/>
          <w:kern w:val="2"/>
          <w:sz w:val="32"/>
          <w:szCs w:val="32"/>
          <w:lang w:val="en-US" w:eastAsia="zh-CN" w:bidi="ar-SA"/>
        </w:rPr>
        <w:t>（4）发挥教育资源优势，强化教育帮扶。</w:t>
      </w:r>
      <w:r>
        <w:rPr>
          <w:rFonts w:hint="eastAsia" w:ascii="仿宋" w:hAnsi="仿宋" w:eastAsia="仿宋" w:cs="仿宋"/>
          <w:color w:val="000000"/>
          <w:sz w:val="32"/>
          <w:szCs w:val="32"/>
          <w:lang w:val="en-US" w:eastAsia="zh-CN"/>
        </w:rPr>
        <w:t>加大帮扶地区困难学生资助和就业帮扶力度。学校聚焦扶志扶智，深入开展帮扶地区困难学生资助工作，2021年共有1815名2021届毕业生申请获得求职创业补贴，切实解决帮扶地区困难毕业生的求职困难。我校2021届帮扶地区困难毕业生毕业去向落实率95.28%。开办帮扶地区困难学生“订单班”。</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320" w:firstLineChars="100"/>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（5）聚焦产业扶贫，增强可持续发展致富能力。</w:t>
      </w:r>
      <w:r>
        <w:rPr>
          <w:rFonts w:hint="eastAsia" w:ascii="仿宋" w:hAnsi="仿宋" w:eastAsia="仿宋" w:cs="仿宋"/>
          <w:color w:val="000000"/>
          <w:sz w:val="32"/>
          <w:szCs w:val="32"/>
          <w:lang w:val="en-US" w:eastAsia="zh-CN"/>
        </w:rPr>
        <w:t>2021年，我校确定了帮扶工作专项经费70万元用于发展定点帮扶村产业和基础设施建设，通过跟踪指导、召开座谈会、实地调研等方式对我校定点帮扶的6个帮扶村特色产业发展和基础设施建设等情况进行督促。扎实推进产业帮扶，不断壮大帮扶村的集体经济实力，帮扶群众发展种桑养蚕产业、养蜂产业和油茶种植、中草药种植产业，建设完成了一批道路亮化提升工程和乡村美化工程。</w:t>
      </w:r>
    </w:p>
    <w:p>
      <w:pPr>
        <w:pageBreakBefore w:val="0"/>
        <w:numPr>
          <w:ilvl w:val="0"/>
          <w:numId w:val="0"/>
        </w:numPr>
        <w:kinsoku/>
        <w:wordWrap/>
        <w:overflowPunct/>
        <w:topLinePunct w:val="0"/>
        <w:bidi w:val="0"/>
        <w:spacing w:line="560" w:lineRule="exact"/>
        <w:ind w:left="0" w:leftChars="0" w:right="0" w:rightChars="0" w:firstLine="320" w:firstLineChars="100"/>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kern w:val="2"/>
          <w:sz w:val="32"/>
          <w:szCs w:val="32"/>
          <w:lang w:val="en-US" w:eastAsia="zh-CN" w:bidi="ar-SA"/>
        </w:rPr>
        <w:t>（6）加快推进乡村振兴，强化帮扶成效</w:t>
      </w:r>
      <w:r>
        <w:rPr>
          <w:rFonts w:hint="eastAsia" w:ascii="仿宋" w:hAnsi="仿宋" w:eastAsia="仿宋" w:cs="仿宋"/>
          <w:b w:val="0"/>
          <w:bCs w:val="0"/>
          <w:color w:val="000000"/>
          <w:kern w:val="2"/>
          <w:sz w:val="32"/>
          <w:szCs w:val="32"/>
        </w:rPr>
        <w:t>。</w:t>
      </w:r>
      <w:r>
        <w:rPr>
          <w:rFonts w:hint="eastAsia" w:ascii="仿宋" w:hAnsi="仿宋" w:eastAsia="仿宋" w:cs="仿宋"/>
          <w:color w:val="000000"/>
          <w:sz w:val="32"/>
          <w:szCs w:val="32"/>
          <w:lang w:val="en-US" w:eastAsia="zh-CN"/>
        </w:rPr>
        <w:t>我校始终把各定点帮扶村乡村振兴工作作为重要任务来抓。2021年，学校</w:t>
      </w:r>
      <w:r>
        <w:rPr>
          <w:rFonts w:hint="eastAsia" w:ascii="仿宋" w:hAnsi="仿宋" w:eastAsia="仿宋" w:cs="仿宋"/>
          <w:color w:val="000000"/>
          <w:sz w:val="32"/>
          <w:szCs w:val="32"/>
        </w:rPr>
        <w:t>选派6名乡村振兴工作队员</w:t>
      </w:r>
      <w:r>
        <w:rPr>
          <w:rFonts w:hint="eastAsia" w:ascii="仿宋" w:hAnsi="仿宋" w:eastAsia="仿宋" w:cs="仿宋"/>
          <w:color w:val="000000"/>
          <w:sz w:val="32"/>
          <w:szCs w:val="32"/>
          <w:lang w:val="en-US" w:eastAsia="zh-CN"/>
        </w:rPr>
        <w:t>进驻6个定点帮扶村担任第一书记。通过完善帮扶村公共服务设施，增强群众的获得感。学校各基层党组织积极与驻村第一书记沟通，为村民办实事办好事。如为加范村修建引水工程；甘湾村安装太阳能路灯亮化道路；尚三村和自成村安装道路护栏解决了村民出行安全问题。同时，积极为帮扶村修缮办公场所，改善办公环境；修建群众活动场所，美化乡村环境，丰富了群众文化生活，进一步增强了群众的获得感和幸福感。</w:t>
      </w:r>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仿宋_GB2312" w:cs="Times New Roman"/>
          <w:color w:val="auto"/>
          <w:sz w:val="32"/>
          <w:szCs w:val="32"/>
          <w:highlight w:val="none"/>
          <w:lang w:val="en-US" w:eastAsia="zh-CN"/>
        </w:rPr>
      </w:pPr>
      <w:bookmarkStart w:id="119" w:name="_Toc15885"/>
      <w:r>
        <w:rPr>
          <w:rFonts w:hint="default" w:ascii="Times New Roman" w:hAnsi="Times New Roman" w:eastAsia="楷体" w:cs="Times New Roman"/>
          <w:b/>
          <w:bCs/>
          <w:color w:val="auto"/>
          <w:sz w:val="32"/>
          <w:szCs w:val="32"/>
          <w:highlight w:val="none"/>
          <w:lang w:val="en-US" w:eastAsia="zh-CN"/>
        </w:rPr>
        <w:t>（二）服务地区情况</w:t>
      </w:r>
      <w:bookmarkEnd w:id="119"/>
    </w:p>
    <w:p>
      <w:pPr>
        <w:pageBreakBefore w:val="0"/>
        <w:numPr>
          <w:ilvl w:val="0"/>
          <w:numId w:val="0"/>
        </w:numPr>
        <w:kinsoku/>
        <w:wordWrap/>
        <w:overflowPunct/>
        <w:topLinePunct w:val="0"/>
        <w:bidi w:val="0"/>
        <w:spacing w:line="560" w:lineRule="exact"/>
        <w:ind w:left="0" w:leftChars="0" w:right="0" w:rightChars="0" w:firstLine="643" w:firstLineChars="200"/>
        <w:textAlignment w:val="auto"/>
        <w:rPr>
          <w:rFonts w:hint="eastAsia" w:ascii="仿宋" w:hAnsi="仿宋" w:eastAsia="仿宋" w:cs="仿宋"/>
          <w:b/>
          <w:bCs/>
          <w:color w:val="000000"/>
          <w:sz w:val="32"/>
          <w:szCs w:val="32"/>
          <w:lang w:val="en-US" w:eastAsia="zh-CN"/>
        </w:rPr>
      </w:pPr>
      <w:bookmarkStart w:id="120" w:name="_Toc29005"/>
      <w:r>
        <w:rPr>
          <w:rFonts w:hint="eastAsia" w:ascii="仿宋" w:hAnsi="仿宋" w:eastAsia="仿宋" w:cs="仿宋"/>
          <w:b/>
          <w:bCs/>
          <w:color w:val="000000"/>
          <w:sz w:val="32"/>
          <w:szCs w:val="32"/>
          <w:lang w:val="en-US" w:eastAsia="zh-CN"/>
        </w:rPr>
        <w:t>1.毕业生去向</w:t>
      </w:r>
      <w:bookmarkEnd w:id="120"/>
    </w:p>
    <w:p>
      <w:pPr>
        <w:pageBreakBefore w:val="0"/>
        <w:numPr>
          <w:ilvl w:val="0"/>
          <w:numId w:val="0"/>
        </w:numPr>
        <w:kinsoku/>
        <w:wordWrap/>
        <w:overflowPunct/>
        <w:topLinePunct w:val="0"/>
        <w:bidi w:val="0"/>
        <w:spacing w:line="560" w:lineRule="exact"/>
        <w:ind w:left="0" w:leftChars="0" w:right="0" w:rightChars="0" w:firstLine="320" w:firstLineChars="100"/>
        <w:textAlignment w:val="auto"/>
        <w:rPr>
          <w:rFonts w:hint="eastAsia" w:ascii="仿宋" w:hAnsi="仿宋" w:eastAsia="仿宋" w:cs="仿宋"/>
          <w:color w:val="000000"/>
          <w:sz w:val="32"/>
          <w:szCs w:val="32"/>
          <w:lang w:val="en-US" w:eastAsia="zh-CN"/>
        </w:rPr>
      </w:pPr>
      <w:bookmarkStart w:id="121" w:name="_Toc32337"/>
      <w:r>
        <w:rPr>
          <w:rFonts w:hint="eastAsia" w:ascii="仿宋" w:hAnsi="仿宋" w:eastAsia="仿宋" w:cs="仿宋"/>
          <w:b w:val="0"/>
          <w:bCs w:val="0"/>
          <w:color w:val="000000"/>
          <w:sz w:val="32"/>
          <w:szCs w:val="32"/>
          <w:lang w:val="en-US" w:eastAsia="zh-CN"/>
        </w:rPr>
        <w:t>（1）服务广西区内优势明显</w:t>
      </w:r>
      <w:bookmarkEnd w:id="121"/>
      <w:r>
        <w:rPr>
          <w:rFonts w:hint="eastAsia" w:ascii="仿宋" w:hAnsi="仿宋" w:eastAsia="仿宋" w:cs="仿宋"/>
          <w:b w:val="0"/>
          <w:bCs w:val="0"/>
          <w:color w:val="000000"/>
          <w:sz w:val="32"/>
          <w:szCs w:val="32"/>
          <w:lang w:val="en-US" w:eastAsia="zh-CN"/>
        </w:rPr>
        <w:t>。</w:t>
      </w:r>
      <w:r>
        <w:rPr>
          <w:rFonts w:hint="eastAsia" w:ascii="仿宋" w:hAnsi="仿宋" w:eastAsia="仿宋" w:cs="仿宋"/>
          <w:color w:val="000000"/>
          <w:sz w:val="32"/>
          <w:szCs w:val="32"/>
          <w:lang w:val="en-US" w:eastAsia="zh-CN"/>
        </w:rPr>
        <w:t>我校2021届毕业生就业地区分布为：81.14%的毕业生服务广西，9.55%的毕业生服务珠三角地区，9.31%毕业生服务其他省份。我校毕业生成为广西及国内建设行业的生力军，为“建设壮美广西 共圆复兴梦想”提供了人才支撑。其中区内就业分布：在广西区内就业的毕业生主要流向了南宁市（67.94%）、柳州市（7.54%）和桂林市（4.2%）。南宁市为我校毕业生就业流向首选。</w:t>
      </w:r>
    </w:p>
    <w:p>
      <w:pPr>
        <w:pageBreakBefore w:val="0"/>
        <w:numPr>
          <w:ilvl w:val="0"/>
          <w:numId w:val="0"/>
        </w:numPr>
        <w:kinsoku/>
        <w:wordWrap/>
        <w:overflowPunct/>
        <w:topLinePunct w:val="0"/>
        <w:bidi w:val="0"/>
        <w:spacing w:line="560" w:lineRule="exact"/>
        <w:ind w:left="0" w:leftChars="0" w:right="0" w:rightChars="0" w:firstLine="320" w:firstLineChars="100"/>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2</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就业单位</w:t>
      </w:r>
      <w:r>
        <w:rPr>
          <w:rFonts w:hint="eastAsia" w:ascii="仿宋" w:hAnsi="仿宋" w:eastAsia="仿宋" w:cs="仿宋"/>
          <w:b w:val="0"/>
          <w:bCs w:val="0"/>
          <w:color w:val="000000"/>
          <w:sz w:val="32"/>
          <w:szCs w:val="32"/>
          <w:lang w:eastAsia="zh-CN"/>
        </w:rPr>
        <w:t>以私营中小企业为主。</w:t>
      </w:r>
      <w:bookmarkStart w:id="122" w:name="_Toc14056"/>
      <w:r>
        <w:rPr>
          <w:rFonts w:hint="eastAsia" w:ascii="仿宋" w:hAnsi="仿宋" w:eastAsia="仿宋" w:cs="仿宋"/>
          <w:color w:val="000000"/>
          <w:sz w:val="32"/>
          <w:szCs w:val="32"/>
          <w:lang w:val="en-US" w:eastAsia="zh-CN"/>
        </w:rPr>
        <w:t>目前，私营企业成为毕业生就业主渠道。我校有2405名毕业生选择进入私营企业，占就业总人数（专升本毕业生除外）的 88.94%。这一方面因为我国城镇就业总规模的大部分岗位由中小企业提供，也说明我校毕业生的就业观念的转变，已开始将目光投向更具活力的民营企业。</w:t>
      </w:r>
      <w:bookmarkEnd w:id="122"/>
    </w:p>
    <w:p>
      <w:pPr>
        <w:pageBreakBefore w:val="0"/>
        <w:numPr>
          <w:ilvl w:val="0"/>
          <w:numId w:val="0"/>
        </w:numPr>
        <w:kinsoku/>
        <w:wordWrap/>
        <w:overflowPunct/>
        <w:topLinePunct w:val="0"/>
        <w:bidi w:val="0"/>
        <w:spacing w:line="560" w:lineRule="exact"/>
        <w:ind w:left="0" w:leftChars="0" w:right="0" w:rightChars="0" w:firstLine="643" w:firstLineChars="200"/>
        <w:textAlignment w:val="auto"/>
        <w:rPr>
          <w:rFonts w:hint="eastAsia" w:ascii="仿宋" w:hAnsi="仿宋" w:eastAsia="仿宋" w:cs="仿宋"/>
          <w:b/>
          <w:bCs/>
          <w:color w:val="000000"/>
          <w:sz w:val="32"/>
          <w:szCs w:val="32"/>
          <w:lang w:val="en-US" w:eastAsia="zh-CN"/>
        </w:rPr>
      </w:pPr>
      <w:bookmarkStart w:id="123" w:name="_Toc12905"/>
      <w:r>
        <w:rPr>
          <w:rFonts w:hint="eastAsia" w:ascii="仿宋" w:hAnsi="仿宋" w:eastAsia="仿宋" w:cs="仿宋"/>
          <w:b/>
          <w:bCs/>
          <w:color w:val="000000"/>
          <w:sz w:val="32"/>
          <w:szCs w:val="32"/>
          <w:lang w:val="en-US" w:eastAsia="zh-CN"/>
        </w:rPr>
        <w:t>2.非学历教育与培训</w:t>
      </w:r>
      <w:bookmarkEnd w:id="123"/>
    </w:p>
    <w:p>
      <w:pPr>
        <w:pageBreakBefore w:val="0"/>
        <w:numPr>
          <w:ilvl w:val="0"/>
          <w:numId w:val="0"/>
        </w:numPr>
        <w:kinsoku/>
        <w:wordWrap/>
        <w:overflowPunct/>
        <w:topLinePunct w:val="0"/>
        <w:bidi w:val="0"/>
        <w:spacing w:line="560" w:lineRule="exact"/>
        <w:ind w:left="0" w:leftChars="0" w:right="0" w:rightChars="0" w:firstLine="320" w:firstLineChars="100"/>
        <w:textAlignment w:val="auto"/>
        <w:rPr>
          <w:rFonts w:hint="eastAsia" w:ascii="仿宋" w:hAnsi="仿宋" w:eastAsia="仿宋" w:cs="仿宋"/>
          <w:color w:val="000000"/>
          <w:sz w:val="32"/>
          <w:szCs w:val="32"/>
        </w:rPr>
      </w:pPr>
      <w:r>
        <w:rPr>
          <w:rFonts w:hint="eastAsia" w:ascii="仿宋" w:hAnsi="仿宋" w:eastAsia="仿宋" w:cs="仿宋"/>
          <w:b w:val="0"/>
          <w:bCs w:val="0"/>
          <w:color w:val="000000"/>
          <w:sz w:val="32"/>
          <w:szCs w:val="32"/>
          <w:lang w:val="en-US" w:eastAsia="zh-CN"/>
        </w:rPr>
        <w:t>（1）建筑领域施工现场专业人员职业培训全区领先。</w:t>
      </w:r>
      <w:r>
        <w:rPr>
          <w:rFonts w:hint="eastAsia" w:ascii="仿宋" w:hAnsi="仿宋" w:eastAsia="仿宋" w:cs="仿宋"/>
          <w:color w:val="000000"/>
          <w:sz w:val="32"/>
          <w:szCs w:val="32"/>
          <w:lang w:val="en-US" w:eastAsia="zh-CN"/>
        </w:rPr>
        <w:t>2021年，继续教育中心</w:t>
      </w:r>
      <w:r>
        <w:rPr>
          <w:rFonts w:hint="eastAsia" w:ascii="仿宋" w:hAnsi="仿宋" w:eastAsia="仿宋" w:cs="仿宋"/>
          <w:color w:val="000000"/>
          <w:sz w:val="32"/>
          <w:szCs w:val="32"/>
        </w:rPr>
        <w:t>开展建设领域施工现场专业人员13个岗位的职业培训，共培训学员超过15000人次，完成现场专业人员职业培训测试超过14000人次，培训规模占全区总量的35%以上，是全区办学规模最大、职业工种最全的培训机构，测试合格率达75%以上，处于全区前列。为广西安全工程职业技术学院、广西交通职业技术学院、广西机电职业技术学院等10所兄弟院校在校生开展了培训测试，助力广西区内建筑领域培训项目的共同发展。</w:t>
      </w:r>
    </w:p>
    <w:p>
      <w:pPr>
        <w:numPr>
          <w:ilvl w:val="0"/>
          <w:numId w:val="0"/>
        </w:numPr>
        <w:spacing w:line="560" w:lineRule="exact"/>
        <w:ind w:firstLine="320" w:firstLineChars="100"/>
        <w:rPr>
          <w:rFonts w:hint="eastAsia" w:ascii="仿宋" w:hAnsi="仿宋" w:eastAsia="仿宋" w:cs="仿宋"/>
          <w:color w:val="000000"/>
          <w:sz w:val="32"/>
          <w:szCs w:val="32"/>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lang w:eastAsia="zh-CN"/>
        </w:rPr>
        <w:t>）传统项目发展平稳。</w:t>
      </w:r>
      <w:r>
        <w:rPr>
          <w:rFonts w:hint="eastAsia" w:ascii="仿宋" w:hAnsi="仿宋" w:eastAsia="仿宋" w:cs="仿宋"/>
          <w:color w:val="000000"/>
          <w:sz w:val="32"/>
          <w:szCs w:val="32"/>
        </w:rPr>
        <w:t>举办全区预拌商品混凝土生产企业内设试验室检测人员能力水平提升培训班</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批次，共培训学员</w:t>
      </w:r>
      <w:r>
        <w:rPr>
          <w:rFonts w:hint="eastAsia" w:ascii="仿宋" w:hAnsi="仿宋" w:eastAsia="仿宋" w:cs="仿宋"/>
          <w:color w:val="000000"/>
          <w:sz w:val="32"/>
          <w:szCs w:val="32"/>
          <w:lang w:val="en-US" w:eastAsia="zh-CN"/>
        </w:rPr>
        <w:t>2049</w:t>
      </w:r>
      <w:r>
        <w:rPr>
          <w:rFonts w:hint="eastAsia" w:ascii="仿宋" w:hAnsi="仿宋" w:eastAsia="仿宋" w:cs="仿宋"/>
          <w:color w:val="000000"/>
          <w:sz w:val="32"/>
          <w:szCs w:val="32"/>
        </w:rPr>
        <w:t>人次。面向在校生举办了钢筋工、砌筑工、电工等6期建筑工人技能培训考核，共培训1560人次。面向下岗工人、退役军人、农民工等重点人群开展就业技能培训2期，共培训学员200余人。与广西腾安建筑机械制造有限公司合作开展22期特种作业人员职业培训，培训3539人次。</w:t>
      </w:r>
    </w:p>
    <w:p>
      <w:pPr>
        <w:pageBreakBefore w:val="0"/>
        <w:numPr>
          <w:ilvl w:val="0"/>
          <w:numId w:val="0"/>
        </w:numPr>
        <w:kinsoku/>
        <w:wordWrap/>
        <w:overflowPunct/>
        <w:topLinePunct w:val="0"/>
        <w:bidi w:val="0"/>
        <w:spacing w:line="560" w:lineRule="exact"/>
        <w:ind w:left="0" w:leftChars="0" w:right="0" w:rightChars="0" w:firstLine="320" w:firstLineChars="100"/>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3</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聚焦重点人群开展订单式职业技能提升培训</w:t>
      </w:r>
      <w:r>
        <w:rPr>
          <w:rFonts w:hint="eastAsia" w:ascii="仿宋" w:hAnsi="仿宋" w:eastAsia="仿宋" w:cs="仿宋"/>
          <w:b w:val="0"/>
          <w:bCs w:val="0"/>
          <w:color w:val="000000"/>
          <w:sz w:val="32"/>
          <w:szCs w:val="32"/>
          <w:lang w:eastAsia="zh-CN"/>
        </w:rPr>
        <w:t>。</w:t>
      </w:r>
      <w:r>
        <w:rPr>
          <w:rFonts w:hint="eastAsia" w:ascii="仿宋" w:hAnsi="仿宋" w:eastAsia="仿宋" w:cs="仿宋"/>
          <w:color w:val="000000"/>
          <w:sz w:val="32"/>
          <w:szCs w:val="32"/>
        </w:rPr>
        <w:t>中国安能集团第一工程局有限公司由中国人民武装警察部队水电第一总队转制并于2019年挂牌成立。</w:t>
      </w:r>
      <w:r>
        <w:rPr>
          <w:rFonts w:hint="eastAsia" w:ascii="仿宋" w:hAnsi="仿宋" w:eastAsia="仿宋" w:cs="仿宋"/>
          <w:color w:val="000000"/>
          <w:sz w:val="32"/>
          <w:szCs w:val="32"/>
          <w:lang w:eastAsia="zh-CN"/>
        </w:rPr>
        <w:t>贯彻落实</w:t>
      </w:r>
      <w:r>
        <w:rPr>
          <w:rFonts w:hint="eastAsia" w:ascii="仿宋" w:hAnsi="仿宋" w:eastAsia="仿宋" w:cs="仿宋"/>
          <w:color w:val="000000"/>
          <w:sz w:val="32"/>
          <w:szCs w:val="32"/>
        </w:rPr>
        <w:t>以习近平同志为核心的党中央对退役军人工作的决策部署，为中国安能集团来自河北、安徽、贵州、广西等省区48名员工开展建筑工程测量技术订单式培训班，提升退役军人再</w:t>
      </w:r>
      <w:r>
        <w:rPr>
          <w:rFonts w:hint="eastAsia" w:ascii="仿宋" w:hAnsi="仿宋" w:eastAsia="仿宋" w:cs="仿宋"/>
          <w:color w:val="000000"/>
          <w:sz w:val="32"/>
          <w:szCs w:val="32"/>
          <w:lang w:val="en-US" w:eastAsia="zh-CN"/>
        </w:rPr>
        <w:t>就业能力。</w:t>
      </w:r>
    </w:p>
    <w:p>
      <w:pPr>
        <w:pageBreakBefore w:val="0"/>
        <w:numPr>
          <w:ilvl w:val="0"/>
          <w:numId w:val="0"/>
        </w:numPr>
        <w:kinsoku/>
        <w:wordWrap/>
        <w:overflowPunct/>
        <w:topLinePunct w:val="0"/>
        <w:bidi w:val="0"/>
        <w:spacing w:line="560" w:lineRule="exact"/>
        <w:ind w:left="0" w:leftChars="0" w:right="0" w:rightChars="0" w:firstLine="643" w:firstLineChars="200"/>
        <w:textAlignment w:val="auto"/>
        <w:rPr>
          <w:rFonts w:hint="eastAsia" w:ascii="仿宋" w:hAnsi="仿宋" w:eastAsia="仿宋" w:cs="仿宋"/>
          <w:b/>
          <w:bCs/>
          <w:color w:val="000000"/>
          <w:sz w:val="32"/>
          <w:szCs w:val="32"/>
          <w:lang w:val="en-US" w:eastAsia="zh-CN"/>
        </w:rPr>
      </w:pPr>
      <w:bookmarkStart w:id="124" w:name="_Toc17284"/>
      <w:r>
        <w:rPr>
          <w:rFonts w:hint="eastAsia" w:ascii="仿宋" w:hAnsi="仿宋" w:eastAsia="仿宋" w:cs="仿宋"/>
          <w:b/>
          <w:bCs/>
          <w:color w:val="000000"/>
          <w:sz w:val="32"/>
          <w:szCs w:val="32"/>
          <w:lang w:val="en-US" w:eastAsia="zh-CN"/>
        </w:rPr>
        <w:t>3.职业技能鉴定与资格认证</w:t>
      </w:r>
      <w:bookmarkEnd w:id="124"/>
    </w:p>
    <w:p>
      <w:pPr>
        <w:pageBreakBefore w:val="0"/>
        <w:numPr>
          <w:ilvl w:val="0"/>
          <w:numId w:val="0"/>
        </w:numPr>
        <w:kinsoku/>
        <w:wordWrap/>
        <w:overflowPunct/>
        <w:topLinePunct w:val="0"/>
        <w:bidi w:val="0"/>
        <w:spacing w:line="560" w:lineRule="exact"/>
        <w:ind w:left="0" w:leftChars="0" w:right="0" w:rightChars="0" w:firstLine="320" w:firstLineChars="1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一是积极增设培训资质，成功获批“广西壮族自治区职业技能考核鉴定机构”“广</w:t>
      </w:r>
      <w:r>
        <w:rPr>
          <w:rFonts w:hint="eastAsia" w:ascii="仿宋" w:hAnsi="仿宋" w:eastAsia="仿宋" w:cs="仿宋"/>
          <w:color w:val="000000"/>
          <w:sz w:val="32"/>
          <w:szCs w:val="32"/>
        </w:rPr>
        <w:t>西社会培训评价组织职业技能等级认定试点单位”“自治区退役军人职业技能培训承训机构”，我校培训资质升级为“</w:t>
      </w:r>
      <w:r>
        <w:rPr>
          <w:rFonts w:hint="eastAsia" w:ascii="仿宋" w:hAnsi="仿宋" w:eastAsia="仿宋" w:cs="仿宋"/>
          <w:color w:val="000000"/>
          <w:sz w:val="32"/>
          <w:szCs w:val="32"/>
          <w:lang w:val="en-US" w:eastAsia="zh-CN"/>
        </w:rPr>
        <w:t>七</w:t>
      </w:r>
      <w:r>
        <w:rPr>
          <w:rFonts w:hint="eastAsia" w:ascii="仿宋" w:hAnsi="仿宋" w:eastAsia="仿宋" w:cs="仿宋"/>
          <w:color w:val="000000"/>
          <w:sz w:val="32"/>
          <w:szCs w:val="32"/>
        </w:rPr>
        <w:t>大继续教育培训基地”“九大培训机构”。二是积极争取培训项目，对接自治区住建厅、南宁市是住建局，承担建筑产业工人培训，</w:t>
      </w:r>
      <w:r>
        <w:rPr>
          <w:rFonts w:hint="eastAsia" w:ascii="仿宋" w:hAnsi="仿宋" w:eastAsia="仿宋" w:cs="仿宋"/>
          <w:color w:val="000000"/>
          <w:sz w:val="32"/>
          <w:szCs w:val="32"/>
          <w:lang w:eastAsia="zh-CN"/>
        </w:rPr>
        <w:t>截至目前</w:t>
      </w:r>
      <w:r>
        <w:rPr>
          <w:rFonts w:hint="eastAsia" w:ascii="仿宋" w:hAnsi="仿宋" w:eastAsia="仿宋" w:cs="仿宋"/>
          <w:color w:val="000000"/>
          <w:sz w:val="32"/>
          <w:szCs w:val="32"/>
        </w:rPr>
        <w:t>，举办建筑工人培训2期，</w:t>
      </w:r>
      <w:r>
        <w:rPr>
          <w:rFonts w:hint="eastAsia" w:ascii="仿宋" w:hAnsi="仿宋" w:eastAsia="仿宋" w:cs="仿宋"/>
          <w:color w:val="000000"/>
          <w:sz w:val="32"/>
          <w:szCs w:val="32"/>
          <w:lang w:eastAsia="zh-CN"/>
        </w:rPr>
        <w:t>共</w:t>
      </w:r>
      <w:r>
        <w:rPr>
          <w:rFonts w:hint="eastAsia" w:ascii="仿宋" w:hAnsi="仿宋" w:eastAsia="仿宋" w:cs="仿宋"/>
          <w:color w:val="000000"/>
          <w:sz w:val="32"/>
          <w:szCs w:val="32"/>
        </w:rPr>
        <w:t>413人次；预计2021年建筑工人</w:t>
      </w:r>
      <w:r>
        <w:rPr>
          <w:rFonts w:hint="eastAsia" w:ascii="仿宋" w:hAnsi="仿宋" w:eastAsia="仿宋" w:cs="仿宋"/>
          <w:color w:val="000000"/>
          <w:sz w:val="32"/>
          <w:szCs w:val="32"/>
          <w:lang w:eastAsia="zh-CN"/>
        </w:rPr>
        <w:t>进行技能鉴定</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000余人。三是积极承担自治区人社厅职业技能鉴定中心物业管理员、燃气维修工等题库建设，为我校下一步</w:t>
      </w:r>
      <w:r>
        <w:rPr>
          <w:rFonts w:hint="eastAsia" w:ascii="仿宋" w:hAnsi="仿宋" w:eastAsia="仿宋" w:cs="仿宋"/>
          <w:color w:val="000000"/>
          <w:sz w:val="32"/>
          <w:szCs w:val="32"/>
          <w:lang w:val="en-US" w:eastAsia="zh-CN"/>
        </w:rPr>
        <w:t>开展职业技能等级认定打下良好基础。</w:t>
      </w:r>
    </w:p>
    <w:p>
      <w:pPr>
        <w:pageBreakBefore w:val="0"/>
        <w:numPr>
          <w:ilvl w:val="0"/>
          <w:numId w:val="0"/>
        </w:numPr>
        <w:kinsoku/>
        <w:wordWrap/>
        <w:overflowPunct/>
        <w:topLinePunct w:val="0"/>
        <w:bidi w:val="0"/>
        <w:spacing w:line="560" w:lineRule="exact"/>
        <w:ind w:left="0" w:leftChars="0" w:right="0" w:rightChars="0" w:firstLine="643" w:firstLineChars="200"/>
        <w:textAlignment w:val="auto"/>
        <w:rPr>
          <w:rFonts w:hint="eastAsia" w:ascii="仿宋" w:hAnsi="仿宋" w:eastAsia="仿宋" w:cs="仿宋"/>
          <w:b/>
          <w:bCs/>
          <w:color w:val="000000"/>
          <w:sz w:val="32"/>
          <w:szCs w:val="32"/>
          <w:lang w:val="en-US" w:eastAsia="zh-CN"/>
        </w:rPr>
      </w:pPr>
      <w:bookmarkStart w:id="125" w:name="_Toc27404"/>
      <w:r>
        <w:rPr>
          <w:rFonts w:hint="eastAsia" w:ascii="仿宋" w:hAnsi="仿宋" w:eastAsia="仿宋" w:cs="仿宋"/>
          <w:b/>
          <w:bCs/>
          <w:color w:val="000000"/>
          <w:sz w:val="32"/>
          <w:szCs w:val="32"/>
          <w:lang w:val="en-US" w:eastAsia="zh-CN"/>
        </w:rPr>
        <w:t>4.服务地方文化建设</w:t>
      </w:r>
      <w:bookmarkEnd w:id="125"/>
    </w:p>
    <w:p>
      <w:pPr>
        <w:pageBreakBefore w:val="0"/>
        <w:numPr>
          <w:ilvl w:val="0"/>
          <w:numId w:val="0"/>
        </w:numPr>
        <w:kinsoku/>
        <w:wordWrap/>
        <w:overflowPunct/>
        <w:topLinePunct w:val="0"/>
        <w:bidi w:val="0"/>
        <w:spacing w:line="560" w:lineRule="exact"/>
        <w:ind w:left="0" w:leftChars="0" w:right="0" w:righ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学校为聚焦人才培养目标，积极推进学生德养工程建设，丰富第二课堂实践活动，同时围绕地方文化建设工作，通过开展各类志愿服务和公益活动，培养学生的奉献精神，积极引导学生奉献社会，使在校生在奉献中锻炼综合能力、提升素质修养。开展暑期“三下乡”实践活动，各级团组织申报团队50余支、学校立项团队21支、服务村镇20余个，1支团队获得全国重点团队立项、5支团队获得自治区重点团队立项，11支团队入围2021入围百强社会实践团队，1支团队获自治区暑期“三下乡”“优秀团队”，我校团委获自治区“三下乡”社会实践活动“优秀单位”奖。社会实践</w:t>
      </w:r>
      <w:r>
        <w:rPr>
          <w:rFonts w:hint="eastAsia" w:ascii="仿宋" w:hAnsi="仿宋" w:eastAsia="仿宋" w:cs="仿宋"/>
          <w:color w:val="000000"/>
          <w:sz w:val="32"/>
          <w:szCs w:val="32"/>
        </w:rPr>
        <w:t>项目</w:t>
      </w:r>
      <w:r>
        <w:rPr>
          <w:rFonts w:hint="eastAsia" w:ascii="仿宋" w:hAnsi="仿宋" w:eastAsia="仿宋" w:cs="仿宋"/>
          <w:color w:val="000000"/>
          <w:sz w:val="32"/>
          <w:szCs w:val="32"/>
          <w:lang w:val="en-US" w:eastAsia="zh-CN"/>
        </w:rPr>
        <w:t>先进</w:t>
      </w:r>
      <w:r>
        <w:rPr>
          <w:rFonts w:hint="eastAsia" w:ascii="仿宋" w:hAnsi="仿宋" w:eastAsia="仿宋" w:cs="仿宋"/>
          <w:color w:val="000000"/>
          <w:sz w:val="32"/>
          <w:szCs w:val="32"/>
        </w:rPr>
        <w:t>事迹受到人民网、光明网、</w:t>
      </w:r>
      <w:r>
        <w:rPr>
          <w:rFonts w:hint="eastAsia" w:ascii="仿宋" w:hAnsi="仿宋" w:eastAsia="仿宋" w:cs="仿宋"/>
          <w:color w:val="000000"/>
          <w:sz w:val="32"/>
          <w:szCs w:val="32"/>
          <w:lang w:val="en-US" w:eastAsia="zh-CN"/>
        </w:rPr>
        <w:t>中国教育在线、</w:t>
      </w:r>
      <w:r>
        <w:rPr>
          <w:rFonts w:hint="eastAsia" w:ascii="仿宋" w:hAnsi="仿宋" w:eastAsia="仿宋" w:cs="仿宋"/>
          <w:color w:val="000000"/>
          <w:sz w:val="32"/>
          <w:szCs w:val="32"/>
        </w:rPr>
        <w:t>中青网等多家主流媒体的报道共</w:t>
      </w:r>
      <w:r>
        <w:rPr>
          <w:rFonts w:hint="eastAsia" w:ascii="仿宋" w:hAnsi="仿宋" w:eastAsia="仿宋" w:cs="仿宋"/>
          <w:color w:val="000000"/>
          <w:sz w:val="32"/>
          <w:szCs w:val="32"/>
          <w:lang w:val="en-US" w:eastAsia="zh-CN"/>
        </w:rPr>
        <w:t>200余</w:t>
      </w:r>
      <w:r>
        <w:rPr>
          <w:rFonts w:hint="eastAsia" w:ascii="仿宋" w:hAnsi="仿宋" w:eastAsia="仿宋" w:cs="仿宋"/>
          <w:color w:val="000000"/>
          <w:sz w:val="32"/>
          <w:szCs w:val="32"/>
        </w:rPr>
        <w:t>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社会实践项目打工课堂——做振兴乡村建筑工匠的实践者获评全国扶贫典型案例50例等。</w:t>
      </w:r>
    </w:p>
    <w:p>
      <w:pPr>
        <w:numPr>
          <w:ilvl w:val="0"/>
          <w:numId w:val="0"/>
        </w:numPr>
        <w:spacing w:line="560" w:lineRule="exact"/>
        <w:ind w:left="0" w:leftChars="0"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与学校“大学生社会实践基地”共建单位——都安团县委联合对口招募，</w:t>
      </w:r>
      <w:r>
        <w:rPr>
          <w:rFonts w:hint="eastAsia" w:ascii="仿宋" w:hAnsi="仿宋" w:eastAsia="仿宋" w:cs="仿宋"/>
          <w:color w:val="000000"/>
          <w:sz w:val="32"/>
          <w:szCs w:val="32"/>
          <w:lang w:eastAsia="zh-CN"/>
        </w:rPr>
        <w:t>选派</w:t>
      </w:r>
      <w:r>
        <w:rPr>
          <w:rFonts w:hint="eastAsia" w:ascii="仿宋" w:hAnsi="仿宋" w:eastAsia="仿宋" w:cs="仿宋"/>
          <w:color w:val="000000"/>
          <w:sz w:val="32"/>
          <w:szCs w:val="32"/>
        </w:rPr>
        <w:t>我校14名都安籍学生</w:t>
      </w:r>
      <w:r>
        <w:rPr>
          <w:rFonts w:hint="eastAsia" w:ascii="仿宋" w:hAnsi="仿宋" w:eastAsia="仿宋" w:cs="仿宋"/>
          <w:color w:val="000000"/>
          <w:sz w:val="32"/>
          <w:szCs w:val="32"/>
          <w:lang w:eastAsia="zh-CN"/>
        </w:rPr>
        <w:t>在假期期间返回家乡</w:t>
      </w:r>
      <w:r>
        <w:rPr>
          <w:rFonts w:hint="eastAsia" w:ascii="仿宋" w:hAnsi="仿宋" w:eastAsia="仿宋" w:cs="仿宋"/>
          <w:color w:val="000000"/>
          <w:sz w:val="32"/>
          <w:szCs w:val="32"/>
        </w:rPr>
        <w:t>开展大学生志愿者暑期“返家乡”社会实践活动</w:t>
      </w:r>
      <w:r>
        <w:rPr>
          <w:rFonts w:hint="eastAsia" w:ascii="仿宋" w:hAnsi="仿宋" w:eastAsia="仿宋" w:cs="仿宋"/>
          <w:color w:val="000000"/>
          <w:sz w:val="32"/>
          <w:szCs w:val="32"/>
          <w:lang w:eastAsia="zh-CN"/>
        </w:rPr>
        <w:t>，服务时长</w:t>
      </w:r>
      <w:r>
        <w:rPr>
          <w:rFonts w:hint="eastAsia" w:ascii="仿宋" w:hAnsi="仿宋" w:eastAsia="仿宋" w:cs="仿宋"/>
          <w:color w:val="000000"/>
          <w:sz w:val="32"/>
          <w:szCs w:val="32"/>
          <w:lang w:val="en-US" w:eastAsia="zh-CN"/>
        </w:rPr>
        <w:t>30天，</w:t>
      </w:r>
      <w:r>
        <w:rPr>
          <w:rFonts w:hint="eastAsia" w:ascii="仿宋" w:hAnsi="仿宋" w:eastAsia="仿宋" w:cs="仿宋"/>
          <w:color w:val="000000"/>
          <w:sz w:val="32"/>
          <w:szCs w:val="32"/>
          <w:lang w:eastAsia="zh-CN"/>
        </w:rPr>
        <w:t>服务</w:t>
      </w:r>
      <w:r>
        <w:rPr>
          <w:rFonts w:hint="eastAsia" w:ascii="仿宋" w:hAnsi="仿宋" w:eastAsia="仿宋" w:cs="仿宋"/>
          <w:color w:val="000000"/>
          <w:sz w:val="32"/>
          <w:szCs w:val="32"/>
          <w:lang w:val="en-US" w:eastAsia="zh-CN"/>
        </w:rPr>
        <w:t>村屯20余个，协助村委等基层组织完成多项入户调研和日常管理工作</w:t>
      </w:r>
      <w:r>
        <w:rPr>
          <w:rFonts w:hint="eastAsia" w:ascii="仿宋" w:hAnsi="仿宋" w:eastAsia="仿宋" w:cs="仿宋"/>
          <w:color w:val="000000"/>
          <w:sz w:val="32"/>
          <w:szCs w:val="32"/>
        </w:rPr>
        <w:t>。</w:t>
      </w:r>
    </w:p>
    <w:p>
      <w:pPr>
        <w:pageBreakBefore w:val="0"/>
        <w:numPr>
          <w:ilvl w:val="0"/>
          <w:numId w:val="0"/>
        </w:numPr>
        <w:kinsoku/>
        <w:wordWrap/>
        <w:overflowPunct/>
        <w:topLinePunct w:val="0"/>
        <w:bidi w:val="0"/>
        <w:spacing w:line="560" w:lineRule="exact"/>
        <w:ind w:left="0" w:leftChars="0" w:right="0" w:righ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全年常态化开展志愿服务千余次，2020年9月至今，我校共开展无偿献血活动3次，参与人数达1276人，献血量达571900毫升，荣获2020年度驻邕大中专院校无偿献血促进单位奖。</w:t>
      </w:r>
    </w:p>
    <w:p>
      <w:pPr>
        <w:pageBreakBefore w:val="0"/>
        <w:kinsoku/>
        <w:wordWrap/>
        <w:overflowPunct/>
        <w:topLinePunct w:val="0"/>
        <w:bidi w:val="0"/>
        <w:spacing w:line="560" w:lineRule="exact"/>
        <w:ind w:left="0" w:leftChars="0" w:right="0" w:rightChars="0" w:firstLine="321" w:firstLineChars="100"/>
        <w:textAlignment w:val="auto"/>
        <w:rPr>
          <w:rFonts w:hint="default" w:ascii="Times New Roman" w:hAnsi="Times New Roman" w:eastAsia="楷体" w:cs="Times New Roman"/>
          <w:b/>
          <w:bCs/>
          <w:color w:val="auto"/>
          <w:sz w:val="32"/>
          <w:szCs w:val="32"/>
          <w:highlight w:val="none"/>
          <w:lang w:val="en-US" w:eastAsia="zh-CN"/>
        </w:rPr>
      </w:pPr>
      <w:bookmarkStart w:id="126" w:name="_Toc29408"/>
      <w:r>
        <w:rPr>
          <w:rFonts w:hint="default" w:ascii="Times New Roman" w:hAnsi="Times New Roman" w:eastAsia="楷体" w:cs="Times New Roman"/>
          <w:b/>
          <w:bCs/>
          <w:color w:val="auto"/>
          <w:sz w:val="32"/>
          <w:szCs w:val="32"/>
          <w:highlight w:val="none"/>
          <w:lang w:val="en-US" w:eastAsia="zh-CN"/>
        </w:rPr>
        <w:t>（三）服务行业企业</w:t>
      </w:r>
      <w:bookmarkEnd w:id="126"/>
    </w:p>
    <w:bookmarkEnd w:id="106"/>
    <w:p>
      <w:pPr>
        <w:pageBreakBefore w:val="0"/>
        <w:numPr>
          <w:ilvl w:val="0"/>
          <w:numId w:val="0"/>
        </w:numPr>
        <w:kinsoku/>
        <w:wordWrap/>
        <w:overflowPunct/>
        <w:topLinePunct w:val="0"/>
        <w:bidi w:val="0"/>
        <w:spacing w:line="560" w:lineRule="exact"/>
        <w:ind w:left="0" w:leftChars="0" w:right="0" w:rightChars="0" w:firstLine="640"/>
        <w:textAlignment w:val="auto"/>
        <w:rPr>
          <w:rFonts w:hint="eastAsia" w:ascii="仿宋" w:hAnsi="仿宋" w:eastAsia="仿宋" w:cs="仿宋"/>
          <w:b/>
          <w:bCs/>
          <w:color w:val="000000"/>
          <w:sz w:val="32"/>
          <w:szCs w:val="32"/>
          <w:lang w:val="en-US" w:eastAsia="zh-CN"/>
        </w:rPr>
      </w:pPr>
      <w:bookmarkStart w:id="127" w:name="_Toc29522"/>
      <w:bookmarkStart w:id="128" w:name="_Toc437380323"/>
      <w:bookmarkStart w:id="129" w:name="_Toc9583"/>
      <w:r>
        <w:rPr>
          <w:rFonts w:hint="eastAsia" w:ascii="仿宋" w:hAnsi="仿宋" w:eastAsia="仿宋" w:cs="仿宋"/>
          <w:b/>
          <w:bCs/>
          <w:color w:val="000000"/>
          <w:sz w:val="32"/>
          <w:szCs w:val="32"/>
          <w:lang w:val="en-US" w:eastAsia="zh-CN"/>
        </w:rPr>
        <w:t>1.行业人才培养</w:t>
      </w:r>
      <w:bookmarkEnd w:id="127"/>
    </w:p>
    <w:p>
      <w:pPr>
        <w:numPr>
          <w:ilvl w:val="0"/>
          <w:numId w:val="0"/>
        </w:numPr>
        <w:spacing w:line="560" w:lineRule="exact"/>
        <w:ind w:left="0" w:leftChars="0" w:firstLine="320" w:firstLineChars="1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我校坚持紧贴行业、依托行业，服务行业企业的办学特色，专业设置以土木建筑大类为主，以国家首批高水平专业群建设的“建筑工程技术专业群”为统领，2021年招生专业39个，涵盖了土建、交通运输、电子信息、资源开发与测绘、艺术设计传媒、财经等6个专业领域的专业及专业群。围绕发挥企业重要主体作用，促进人才培养供给侧和产业需求侧结构要素全方位融合，通过深入走访企业开展交流合作，依托学校校企合作发展理事会，以“工学结合，校企协同育人，过程共管，成果共享，优势互补，校企双赢”为合作理念，大力推进创新人才培养模式。</w:t>
      </w:r>
    </w:p>
    <w:p>
      <w:pPr>
        <w:numPr>
          <w:ilvl w:val="0"/>
          <w:numId w:val="0"/>
        </w:numPr>
        <w:spacing w:line="560" w:lineRule="exact"/>
        <w:ind w:left="0" w:leftChars="0" w:firstLine="320" w:firstLineChars="1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学校党委书记、校长等校领导亲自带队带头拜访调研企业，深化校企互联互通。2020年9月以来走访了中国建筑第三工程局有限公司、中国建筑第五工程局有限公司、三一重工股份有限公司、上汽通用五菱汽车股份有限公司、华润置地南宁有限公司、广西建工集团控股有限公司等100多家具有很强的针对性和行业特色的企业，围绕打通校企人才培养和就业的双向合作等内容进行了深入交流。</w:t>
      </w:r>
    </w:p>
    <w:p>
      <w:pPr>
        <w:numPr>
          <w:ilvl w:val="0"/>
          <w:numId w:val="0"/>
        </w:numPr>
        <w:spacing w:line="560" w:lineRule="exact"/>
        <w:ind w:left="0" w:leftChars="0" w:firstLine="320" w:firstLineChars="1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注重开展调查研究。邀请30多家建筑类企业高管到学校调研座谈，研究人才培养对策。举办第二次“企业高管进校园，共话人才培养新思路”——校企合作调研座谈会，推动企业与学校共建实践基地、毕业生就业、校企人员互兼互聘工作有序开展。</w:t>
      </w:r>
    </w:p>
    <w:p>
      <w:pPr>
        <w:numPr>
          <w:ilvl w:val="0"/>
          <w:numId w:val="0"/>
        </w:numPr>
        <w:spacing w:line="560" w:lineRule="exact"/>
        <w:ind w:left="0" w:leftChars="0" w:firstLine="320" w:firstLineChars="1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充分发挥“校企合作发展理事会”平台的功能。目前我校校企合作发展理事会成员单位已达108家，目前共有14家校企合作单位进驻我校，建立校中厂，办公场所面积近6500平方米。校企共同建立了稳定的校外实习实训基地，形成了“依托行业，校企合作，以产促学，服务地方”的办学特色，以校中厂、厂中校作为学生实践、实训场所，进行校企订单培养模式。</w:t>
      </w:r>
    </w:p>
    <w:p>
      <w:pPr>
        <w:numPr>
          <w:ilvl w:val="0"/>
          <w:numId w:val="0"/>
        </w:numPr>
        <w:spacing w:line="560" w:lineRule="exact"/>
        <w:ind w:left="0" w:leftChars="0" w:firstLine="320" w:firstLineChars="1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持续推进校企合作项目提质增效。学校与广西建工集团第三建筑工程有限责任公司继续深化合作，联合共建区内领先的基于云架构下的数字建筑（BIM）技术创新发展研究中心，为新技术的创新研发及应用构建优秀的平台，为校企合作、人才共育搭建优质的桥梁，有力提升学校教学科研水平和服务社会企业的能力；学校继续深化学校混合所有制与现代学徒制试点改革，稳定新型校企合作关系，构建多元化办学模式，拓展产教融合新方向，2021年我校与湖北美和易思教育科技有限公司共建混合所有制试点改革项目“互联网+特色”专业的第三批实习生已经分赴全国各地开始实习。</w:t>
      </w:r>
    </w:p>
    <w:p>
      <w:pPr>
        <w:numPr>
          <w:ilvl w:val="0"/>
          <w:numId w:val="0"/>
        </w:numPr>
        <w:spacing w:line="560" w:lineRule="exact"/>
        <w:ind w:left="0" w:leftChars="0" w:firstLine="643" w:firstLineChars="200"/>
        <w:rPr>
          <w:rFonts w:hint="eastAsia" w:ascii="仿宋" w:hAnsi="仿宋" w:eastAsia="仿宋" w:cs="仿宋"/>
          <w:b/>
          <w:bCs/>
          <w:color w:val="000000"/>
          <w:sz w:val="32"/>
          <w:szCs w:val="32"/>
          <w:lang w:val="en-US" w:eastAsia="zh-CN"/>
        </w:rPr>
      </w:pPr>
      <w:bookmarkStart w:id="130" w:name="_Toc12446"/>
      <w:r>
        <w:rPr>
          <w:rFonts w:hint="eastAsia" w:ascii="仿宋" w:hAnsi="仿宋" w:eastAsia="仿宋" w:cs="仿宋"/>
          <w:b/>
          <w:bCs/>
          <w:color w:val="000000"/>
          <w:sz w:val="32"/>
          <w:szCs w:val="32"/>
          <w:lang w:val="en-US" w:eastAsia="zh-CN"/>
        </w:rPr>
        <w:t>2.行业专业服务</w:t>
      </w:r>
      <w:bookmarkEnd w:id="130"/>
    </w:p>
    <w:p>
      <w:pPr>
        <w:numPr>
          <w:ilvl w:val="0"/>
          <w:numId w:val="0"/>
        </w:numPr>
        <w:spacing w:line="560" w:lineRule="exact"/>
        <w:ind w:left="0" w:leftChars="0" w:firstLine="320" w:firstLineChars="100"/>
        <w:rPr>
          <w:rFonts w:hint="eastAsia" w:ascii="仿宋" w:hAnsi="仿宋" w:eastAsia="仿宋" w:cs="仿宋"/>
          <w:color w:val="000000"/>
          <w:sz w:val="32"/>
          <w:szCs w:val="32"/>
          <w:lang w:val="en-US" w:eastAsia="zh-CN"/>
        </w:rPr>
      </w:pPr>
      <w:bookmarkStart w:id="131" w:name="_Toc24606_WPSOffice_Level3"/>
      <w:r>
        <w:rPr>
          <w:rFonts w:hint="eastAsia" w:ascii="仿宋" w:hAnsi="仿宋" w:eastAsia="仿宋" w:cs="仿宋"/>
          <w:color w:val="000000"/>
          <w:sz w:val="32"/>
          <w:szCs w:val="32"/>
          <w:lang w:val="en-US" w:eastAsia="zh-CN"/>
        </w:rPr>
        <w:t>（1）进一步推动“政行校企”合作深入开展</w:t>
      </w:r>
      <w:bookmarkEnd w:id="131"/>
      <w:r>
        <w:rPr>
          <w:rFonts w:hint="eastAsia" w:ascii="仿宋" w:hAnsi="仿宋" w:eastAsia="仿宋" w:cs="仿宋"/>
          <w:color w:val="000000"/>
          <w:sz w:val="32"/>
          <w:szCs w:val="32"/>
          <w:lang w:val="en-US" w:eastAsia="zh-CN"/>
        </w:rPr>
        <w:t xml:space="preserve"> 。充分利用广西建设职业教育集团和我校作为广西建设职业教育教学指导委员会秘书处单位的优势地位，依托校企合作发展理事会平台，全面提升服务区域产业发展、服务现代职业教育体系建设的水平，大幅拓展和扩大学校对来自政府、行业和企业在政策、资源和力量方面的享有面、可倾斜面、支持面和参与面，充分利用各方力量，助推学校做大做强。深化教育教学改革以及人才培养模式，引企入校，加大资金投入，营造教学工厂，校企共建办学实体，共建实训室，共同参与人才培养，共同开发精品课程和教材，不断升级、优化我校各类教学资源，提升教学实力。</w:t>
      </w:r>
    </w:p>
    <w:p>
      <w:pPr>
        <w:numPr>
          <w:ilvl w:val="0"/>
          <w:numId w:val="0"/>
        </w:numPr>
        <w:spacing w:line="560" w:lineRule="exact"/>
        <w:ind w:left="0" w:leftChars="0" w:firstLine="640" w:firstLineChars="200"/>
        <w:rPr>
          <w:rFonts w:hint="eastAsia" w:ascii="仿宋" w:hAnsi="仿宋" w:eastAsia="仿宋" w:cs="仿宋"/>
          <w:bCs w:val="0"/>
          <w:color w:val="000000"/>
          <w:sz w:val="32"/>
          <w:szCs w:val="32"/>
        </w:rPr>
      </w:pPr>
      <w:r>
        <w:rPr>
          <w:rFonts w:hint="eastAsia" w:ascii="仿宋" w:hAnsi="仿宋" w:eastAsia="仿宋" w:cs="仿宋"/>
          <w:color w:val="000000"/>
          <w:sz w:val="32"/>
          <w:szCs w:val="32"/>
          <w:lang w:val="en-US" w:eastAsia="zh-CN"/>
        </w:rPr>
        <w:t>进一步完善校企人员互派互聘机制和相关制度，从而加强“双师型”师资队伍的建设。继续加强校外实训实习基地</w:t>
      </w:r>
      <w:r>
        <w:rPr>
          <w:rFonts w:hint="eastAsia" w:ascii="仿宋" w:hAnsi="仿宋" w:eastAsia="仿宋" w:cs="仿宋"/>
          <w:bCs w:val="0"/>
          <w:color w:val="000000"/>
          <w:sz w:val="32"/>
          <w:szCs w:val="32"/>
        </w:rPr>
        <w:t>建设，提升规模和质量水平。</w:t>
      </w:r>
    </w:p>
    <w:p>
      <w:pPr>
        <w:numPr>
          <w:ilvl w:val="0"/>
          <w:numId w:val="0"/>
        </w:numPr>
        <w:pBdr>
          <w:bottom w:val="none" w:color="auto" w:sz="0" w:space="0"/>
        </w:pBdr>
        <w:autoSpaceDE/>
        <w:autoSpaceDN/>
        <w:adjustRightInd/>
        <w:snapToGrid/>
        <w:spacing w:line="560" w:lineRule="exact"/>
        <w:ind w:left="0" w:leftChars="0" w:firstLine="320" w:firstLineChars="100"/>
        <w:rPr>
          <w:rFonts w:hint="eastAsia" w:ascii="仿宋" w:hAnsi="仿宋" w:eastAsia="仿宋" w:cs="仿宋"/>
          <w:b w:val="0"/>
          <w:bCs w:val="0"/>
          <w:color w:val="000000"/>
          <w:sz w:val="32"/>
          <w:szCs w:val="32"/>
          <w:lang w:eastAsia="zh-CN"/>
        </w:rPr>
      </w:pPr>
      <w:bookmarkStart w:id="132" w:name="_Toc29778_WPSOffice_Level3"/>
      <w:r>
        <w:rPr>
          <w:rFonts w:hint="eastAsia" w:ascii="仿宋" w:hAnsi="仿宋" w:eastAsia="仿宋" w:cs="仿宋"/>
          <w:b w:val="0"/>
          <w:bCs w:val="0"/>
          <w:color w:val="000000"/>
          <w:sz w:val="32"/>
          <w:szCs w:val="32"/>
        </w:rPr>
        <w:t>（2）专业设置与产业需求对接，提升专业服务产业力</w:t>
      </w:r>
      <w:bookmarkEnd w:id="132"/>
      <w:r>
        <w:rPr>
          <w:rFonts w:hint="eastAsia" w:ascii="仿宋" w:hAnsi="仿宋" w:eastAsia="仿宋" w:cs="仿宋"/>
          <w:b w:val="0"/>
          <w:bCs w:val="0"/>
          <w:color w:val="000000"/>
          <w:sz w:val="32"/>
          <w:szCs w:val="32"/>
          <w:lang w:eastAsia="zh-CN"/>
        </w:rPr>
        <w:t>。</w:t>
      </w:r>
    </w:p>
    <w:p>
      <w:pPr>
        <w:numPr>
          <w:ilvl w:val="0"/>
          <w:numId w:val="0"/>
        </w:numPr>
        <w:pBdr>
          <w:bottom w:val="none" w:color="auto" w:sz="0" w:space="0"/>
        </w:pBdr>
        <w:autoSpaceDE/>
        <w:autoSpaceDN/>
        <w:adjustRightInd/>
        <w:snapToGrid/>
        <w:spacing w:line="560" w:lineRule="exact"/>
        <w:ind w:left="0" w:leftChars="0" w:firstLine="0" w:firstLineChars="0"/>
        <w:rPr>
          <w:rFonts w:hint="eastAsia" w:ascii="仿宋" w:hAnsi="仿宋" w:eastAsia="仿宋" w:cs="仿宋"/>
          <w:color w:val="000000"/>
          <w:sz w:val="32"/>
          <w:szCs w:val="32"/>
        </w:rPr>
      </w:pPr>
      <w:r>
        <w:rPr>
          <w:rFonts w:hint="eastAsia" w:ascii="仿宋" w:hAnsi="仿宋" w:eastAsia="仿宋" w:cs="仿宋"/>
          <w:color w:val="000000"/>
          <w:sz w:val="32"/>
          <w:szCs w:val="32"/>
        </w:rPr>
        <w:t>依托我校是广西建设行指委秘书处单位的优势，采取灵活多样的校企合作形式，进一步加强与行业企业的产学合作，增强学校服务企业、服务社会的能力。受全国住房和城乡建设职业教育教学指导委员会委托，我校作为全国住建行指委房地产专指委秘书处单位，牵头组织40余所院校、100余名专家，对全国200余所职业院校进行调研工作，完成了智慧城市管理技术等8个专业的专业简介、专业教学标准的制（修）订工作。另外，作为广西建筑职业教育教学指导委员会秘书处单位，针对广西建筑行业发展与转型升级，对100余家建筑企业进行调研，组织编制广西建筑业人才供需报告，为广西建筑业人才需求提供全面、客观的参考依据。</w:t>
      </w:r>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学校与行业、企业联合开展“广西建筑装饰行业2021年度职工职业技能大赛”“广西建设工程消防协会首届技能大赛”等行业技能比赛，以赛促教、以赛促学、以赛促改，在提高学生对实习操作技能掌握的同时，推动各专业核心能力课程体系、教学内容和教学方法的深入改革和创新建设，加快高校人才培养方式改革步伐，为行业发展提供新型人才。同时由专业教师（公司技术人员）带领学生共同将专业技能转化成工程设计产品（作品），与企业共同合作完成多项工法的编制，实现生产育人和服务社会，产生了良好的社会影响力。充分发挥教师研究、指导、咨询、服务优势，拓展社会服务面，开展服务广西工业化、城镇化和社会主义新农村建设。我校各专业组织教师深入基层指导乡镇建设，教师带领学生开展“技术咨询，服务地方建设”的活动，今年</w:t>
      </w:r>
      <w:r>
        <w:rPr>
          <w:rFonts w:hint="eastAsia" w:ascii="仿宋" w:hAnsi="仿宋" w:eastAsia="仿宋" w:cs="仿宋"/>
          <w:color w:val="000000"/>
          <w:sz w:val="32"/>
          <w:szCs w:val="32"/>
          <w:lang w:val="en-US" w:eastAsia="zh-CN"/>
        </w:rPr>
        <w:t>师生共参与实际项目设计达百余项。</w:t>
      </w:r>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仿宋" w:hAnsi="仿宋" w:eastAsia="仿宋" w:cs="仿宋"/>
          <w:b w:val="0"/>
          <w:bCs w:val="0"/>
          <w:color w:val="000000"/>
          <w:sz w:val="32"/>
          <w:szCs w:val="32"/>
          <w:lang w:val="en-US" w:eastAsia="zh-CN"/>
        </w:rPr>
      </w:pPr>
      <w:bookmarkStart w:id="133" w:name="_Toc27009"/>
      <w:r>
        <w:rPr>
          <w:rFonts w:hint="eastAsia" w:ascii="黑体" w:hAnsi="黑体" w:eastAsia="黑体" w:cs="黑体"/>
          <w:b/>
          <w:bCs/>
          <w:color w:val="000000"/>
          <w:sz w:val="32"/>
          <w:szCs w:val="32"/>
          <w:lang w:val="en-US" w:eastAsia="zh-CN"/>
        </w:rPr>
        <w:t>七、疫情防控</w:t>
      </w:r>
      <w:bookmarkEnd w:id="133"/>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楷体" w:hAnsi="楷体" w:eastAsia="楷体" w:cs="楷体"/>
          <w:b/>
          <w:bCs/>
          <w:color w:val="000000"/>
          <w:sz w:val="32"/>
          <w:szCs w:val="32"/>
          <w:lang w:val="en-US" w:eastAsia="zh-CN"/>
        </w:rPr>
      </w:pPr>
      <w:bookmarkStart w:id="134" w:name="_Toc9847"/>
      <w:r>
        <w:rPr>
          <w:rFonts w:hint="eastAsia" w:ascii="楷体" w:hAnsi="楷体" w:eastAsia="楷体" w:cs="楷体"/>
          <w:b/>
          <w:bCs/>
          <w:color w:val="000000"/>
          <w:sz w:val="32"/>
          <w:szCs w:val="32"/>
          <w:lang w:val="en-US" w:eastAsia="zh-CN"/>
        </w:rPr>
        <w:t>（一）教育教学工作</w:t>
      </w:r>
      <w:bookmarkEnd w:id="134"/>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仿宋" w:hAnsi="仿宋" w:eastAsia="仿宋" w:cs="仿宋"/>
          <w:b/>
          <w:bCs/>
          <w:color w:val="000000"/>
          <w:sz w:val="32"/>
          <w:szCs w:val="32"/>
          <w:lang w:val="en-US" w:eastAsia="zh-CN"/>
        </w:rPr>
      </w:pPr>
      <w:bookmarkStart w:id="135" w:name="_Toc19176"/>
      <w:r>
        <w:rPr>
          <w:rFonts w:hint="eastAsia" w:ascii="仿宋" w:hAnsi="仿宋" w:eastAsia="仿宋" w:cs="仿宋"/>
          <w:b/>
          <w:bCs/>
          <w:color w:val="000000"/>
          <w:sz w:val="32"/>
          <w:szCs w:val="32"/>
          <w:lang w:val="en-US" w:eastAsia="zh-CN"/>
        </w:rPr>
        <w:t>1.提高认识，科学实施，认真落实教学中心任务</w:t>
      </w:r>
      <w:bookmarkEnd w:id="135"/>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我校先后制订了《广西建设职业技术学院新型冠状病毒感染的肺炎疫情防控期间教学工作应</w:t>
      </w:r>
      <w:r>
        <w:rPr>
          <w:rFonts w:hint="eastAsia" w:ascii="仿宋" w:hAnsi="仿宋" w:eastAsia="仿宋" w:cs="仿宋"/>
          <w:color w:val="000000"/>
          <w:sz w:val="32"/>
          <w:szCs w:val="32"/>
        </w:rPr>
        <w:t>急预案》《广西建设职业技术学院关于在疫情防控期间开展在线教学的实施方案》等，对疫情防控期间线上教学工作做出了详细的安排和部署，</w:t>
      </w:r>
      <w:r>
        <w:rPr>
          <w:rFonts w:hint="eastAsia" w:ascii="仿宋" w:hAnsi="仿宋" w:eastAsia="仿宋" w:cs="仿宋"/>
          <w:color w:val="000000"/>
          <w:sz w:val="32"/>
          <w:szCs w:val="32"/>
          <w:lang w:val="en-US" w:eastAsia="zh-CN"/>
        </w:rPr>
        <w:t>各二级学院按照学校的部署和要求制定具体实施细则，努力保障疫情期间学校正常的教育教学秩序。</w:t>
      </w:r>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仿宋" w:hAnsi="仿宋" w:eastAsia="仿宋" w:cs="仿宋"/>
          <w:b/>
          <w:bCs/>
          <w:color w:val="000000"/>
          <w:sz w:val="32"/>
          <w:szCs w:val="32"/>
          <w:lang w:val="en-US" w:eastAsia="zh-CN"/>
        </w:rPr>
      </w:pPr>
      <w:bookmarkStart w:id="136" w:name="_Toc21770"/>
      <w:r>
        <w:rPr>
          <w:rFonts w:hint="eastAsia" w:ascii="仿宋" w:hAnsi="仿宋" w:eastAsia="仿宋" w:cs="仿宋"/>
          <w:b/>
          <w:bCs/>
          <w:color w:val="000000"/>
          <w:sz w:val="32"/>
          <w:szCs w:val="32"/>
          <w:lang w:val="en-US" w:eastAsia="zh-CN"/>
        </w:rPr>
        <w:t>2.压实责任主体，统筹协调，严格规范组织管理</w:t>
      </w:r>
      <w:bookmarkEnd w:id="136"/>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学校成立新型冠状病毒肺炎疫情防控期间在线教学工作领导小组，分管教学副院长担任组长，各部门团结协作，全力推进在线教学工作。</w:t>
      </w:r>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学校积极与各在线教学平台联系，编制在线教学操作规程，组建了校内在线教学技术支持团队，完成了开学前各科目教学资源的线上布置、教师操作培训、学生使用培训、后台数据提取以及教学质量监控等关键核心工作，充足的在线教学资源为实施有效授课奠定了坚实的基础。</w:t>
      </w:r>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学校出台“一课一册”管理制度，按照“合格一批、推出一批”的原则稳步推进在线教学工作，保证在线教学质量。组织任课教师签订意识形态责任承诺书，严格审核在线资源的思想性和规范性，确保任课教师在开展网络教学过程中的正确思想导向，严格督查任课教师遵守师德师风有关规定，坚持立德树人。</w:t>
      </w:r>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仿宋" w:hAnsi="仿宋" w:eastAsia="仿宋" w:cs="仿宋"/>
          <w:b/>
          <w:bCs/>
          <w:color w:val="000000"/>
          <w:sz w:val="32"/>
          <w:szCs w:val="32"/>
          <w:lang w:val="en-US" w:eastAsia="zh-CN"/>
        </w:rPr>
      </w:pPr>
      <w:bookmarkStart w:id="137" w:name="_Toc29685"/>
      <w:r>
        <w:rPr>
          <w:rFonts w:hint="eastAsia" w:ascii="仿宋" w:hAnsi="仿宋" w:eastAsia="仿宋" w:cs="仿宋"/>
          <w:b/>
          <w:bCs/>
          <w:color w:val="000000"/>
          <w:sz w:val="32"/>
          <w:szCs w:val="32"/>
          <w:lang w:val="en-US" w:eastAsia="zh-CN"/>
        </w:rPr>
        <w:t>3.线上线下两手抓，教学教研出成效</w:t>
      </w:r>
      <w:bookmarkEnd w:id="137"/>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教学方面，我校创新教学辅助模式，开启线上线下混合式教学。任课教师借助平台，提前发布优质在线课程资源，引导学生开展自主学习，在此基础上，教师通过直播平台对学生进行线上学习指导、作业完成点评、辅导答疑等教学活动，做到学生线下、线上自学和老师线上辅导答疑相结合。同时，把疫情防控阶段的教育教学活动视为推动学生教育管理和教学组织形式及教学手段创新的一次机遇，积极探索学生教育信息化、智能化管理。总结经验，整合教学资源，为后续智慧课堂创建和学生企业实习线上教学等工作做好准备。</w:t>
      </w:r>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教研方面，一方面，我校要求任课教师高标准备课，根据课程教学大纲，充分利用国家精品在线开放课程、优质慕课等优质资源，高质量准备教学资源，特别是对于不同生源的学生，分别准备学习资源，做到因材施教、因课施教。另一方面，对本阶段学生管理和教育教学过程中遇到的新问题，作为教研课题认真探索研究，积极探索解决问题的有效途径和方式，形成科研成果。</w:t>
      </w:r>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仿宋" w:hAnsi="仿宋" w:eastAsia="仿宋" w:cs="仿宋"/>
          <w:b/>
          <w:bCs/>
          <w:color w:val="000000"/>
          <w:sz w:val="32"/>
          <w:szCs w:val="32"/>
          <w:lang w:val="en-US" w:eastAsia="zh-CN"/>
        </w:rPr>
      </w:pPr>
      <w:bookmarkStart w:id="138" w:name="_Toc13362"/>
      <w:r>
        <w:rPr>
          <w:rFonts w:hint="eastAsia" w:ascii="仿宋" w:hAnsi="仿宋" w:eastAsia="仿宋" w:cs="仿宋"/>
          <w:b/>
          <w:bCs/>
          <w:color w:val="000000"/>
          <w:sz w:val="32"/>
          <w:szCs w:val="32"/>
          <w:lang w:val="en-US" w:eastAsia="zh-CN"/>
        </w:rPr>
        <w:t>4.专项督查不走过场，立行立改见实效</w:t>
      </w:r>
      <w:bookmarkEnd w:id="138"/>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我校成立由学校领导、教务科研处和各系（院、部）领导组成在线教学督导组对线上教学情况进行专项督查，通过随时模拟身份进入实时课堂，观看授课直播、查看</w:t>
      </w:r>
      <w:r>
        <w:rPr>
          <w:rFonts w:hint="eastAsia" w:ascii="仿宋" w:hAnsi="仿宋" w:eastAsia="仿宋" w:cs="仿宋"/>
          <w:color w:val="000000"/>
          <w:sz w:val="32"/>
          <w:szCs w:val="32"/>
        </w:rPr>
        <w:t>出勤情况、学生互动情况等，收集学生评教反馈，及时掌握学生学习动态，加强考核和过程管理，强化线上教学监控，保证课程学</w:t>
      </w:r>
      <w:r>
        <w:rPr>
          <w:rFonts w:hint="eastAsia" w:ascii="仿宋" w:hAnsi="仿宋" w:eastAsia="仿宋" w:cs="仿宋"/>
          <w:color w:val="000000"/>
          <w:sz w:val="32"/>
          <w:szCs w:val="32"/>
          <w:lang w:val="en-US" w:eastAsia="zh-CN"/>
        </w:rPr>
        <w:t>习质量和效果。</w:t>
      </w:r>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仿宋" w:hAnsi="仿宋" w:eastAsia="仿宋" w:cs="仿宋"/>
          <w:b/>
          <w:bCs/>
          <w:color w:val="000000"/>
          <w:sz w:val="32"/>
          <w:szCs w:val="32"/>
          <w:lang w:val="en-US" w:eastAsia="zh-CN"/>
        </w:rPr>
      </w:pPr>
      <w:bookmarkStart w:id="139" w:name="_Toc23983"/>
      <w:r>
        <w:rPr>
          <w:rFonts w:hint="eastAsia" w:ascii="仿宋" w:hAnsi="仿宋" w:eastAsia="仿宋" w:cs="仿宋"/>
          <w:b/>
          <w:bCs/>
          <w:color w:val="000000"/>
          <w:sz w:val="32"/>
          <w:szCs w:val="32"/>
          <w:lang w:val="en-US" w:eastAsia="zh-CN"/>
        </w:rPr>
        <w:t>5.优化服务，强化激励，着力提供五项支撑保障</w:t>
      </w:r>
      <w:bookmarkEnd w:id="139"/>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校建有移动录播/直播室20间，用于全力支持在线教学工作的开展；设立疫情防控期间针对贫困学生多项临时困难补助，切实保障学生在特殊时期的学习生活需求；对不具备线上学习条件的学生，按照“一生一策”进行帮扶，确保线上教育教学全覆盖、无遗漏；按照正常课时核算教师在线教学工作量，组织开展在线教学优秀集体和优秀教师评比，并予以奖励，提升教师进行在线教学的积极性；组织专家对在线教学情况进行督导检查，以检促建，以检督质。</w:t>
      </w:r>
    </w:p>
    <w:p>
      <w:pPr>
        <w:pBdr>
          <w:bottom w:val="single" w:color="FFFFFF" w:sz="4" w:space="15"/>
        </w:pBdr>
        <w:tabs>
          <w:tab w:val="left" w:pos="7380"/>
        </w:tabs>
        <w:autoSpaceDE w:val="0"/>
        <w:autoSpaceDN w:val="0"/>
        <w:adjustRightInd w:val="0"/>
        <w:snapToGrid w:val="0"/>
        <w:spacing w:line="560" w:lineRule="exact"/>
        <w:ind w:left="0" w:leftChars="0" w:firstLine="321" w:firstLineChars="100"/>
        <w:rPr>
          <w:rFonts w:hint="default" w:ascii="Times New Roman" w:hAnsi="Times New Roman" w:cs="Times New Roman"/>
          <w:sz w:val="32"/>
          <w:szCs w:val="32"/>
          <w:lang w:val="en-US" w:eastAsia="zh-CN"/>
        </w:rPr>
      </w:pPr>
      <w:bookmarkStart w:id="140" w:name="_Toc7946"/>
      <w:r>
        <w:rPr>
          <w:rFonts w:hint="default" w:ascii="Times New Roman" w:hAnsi="Times New Roman" w:eastAsia="楷体" w:cs="Times New Roman"/>
          <w:b/>
          <w:bCs/>
          <w:sz w:val="32"/>
          <w:szCs w:val="32"/>
          <w:lang w:val="en-US" w:eastAsia="zh-CN"/>
        </w:rPr>
        <w:t>（二）学生管理工作</w:t>
      </w:r>
      <w:bookmarkEnd w:id="140"/>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仿宋" w:hAnsi="仿宋" w:eastAsia="仿宋" w:cs="仿宋"/>
          <w:color w:val="000000"/>
          <w:sz w:val="32"/>
          <w:szCs w:val="32"/>
          <w:lang w:val="en-US" w:eastAsia="zh-CN"/>
        </w:rPr>
      </w:pPr>
      <w:bookmarkStart w:id="141" w:name="_Toc27699"/>
      <w:r>
        <w:rPr>
          <w:rFonts w:hint="eastAsia" w:ascii="仿宋" w:hAnsi="仿宋" w:eastAsia="仿宋" w:cs="仿宋"/>
          <w:b/>
          <w:bCs/>
          <w:color w:val="000000"/>
          <w:sz w:val="32"/>
          <w:szCs w:val="32"/>
          <w:lang w:val="en-US" w:eastAsia="zh-CN"/>
        </w:rPr>
        <w:t xml:space="preserve">1.筑牢校园“防疫墙”，打好疫情防控基础  </w:t>
      </w:r>
      <w:bookmarkEnd w:id="141"/>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color w:val="000000"/>
          <w:sz w:val="32"/>
          <w:szCs w:val="32"/>
          <w:lang w:val="en-US" w:eastAsia="zh-CN"/>
        </w:rPr>
        <w:t xml:space="preserve">    </w:t>
      </w:r>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按照上级和学校疫情防控的各项工作部署，制定《学生错峰返校及返校后学生管理工作方案》《学生宿舍疫情防控工作方案》等，筹建隔离观察场所，打造温馨隔离区，为学生返校营造安全、健康的生活学习环境提供基础保障。</w:t>
      </w:r>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仿宋" w:hAnsi="仿宋" w:eastAsia="仿宋" w:cs="仿宋"/>
          <w:b/>
          <w:bCs/>
          <w:color w:val="000000"/>
          <w:sz w:val="32"/>
          <w:szCs w:val="32"/>
          <w:lang w:val="en-US" w:eastAsia="zh-CN"/>
        </w:rPr>
      </w:pPr>
      <w:bookmarkStart w:id="142" w:name="_Toc12546"/>
      <w:r>
        <w:rPr>
          <w:rFonts w:hint="eastAsia" w:ascii="仿宋" w:hAnsi="仿宋" w:eastAsia="仿宋" w:cs="仿宋"/>
          <w:b/>
          <w:bCs/>
          <w:color w:val="000000"/>
          <w:sz w:val="32"/>
          <w:szCs w:val="32"/>
          <w:lang w:val="en-US" w:eastAsia="zh-CN"/>
        </w:rPr>
        <w:t xml:space="preserve">2.加强学生教育管理，落实常态化疫情防控   </w:t>
      </w:r>
      <w:bookmarkEnd w:id="142"/>
      <w:r>
        <w:rPr>
          <w:rFonts w:hint="eastAsia" w:ascii="仿宋" w:hAnsi="仿宋" w:eastAsia="仿宋" w:cs="仿宋"/>
          <w:b/>
          <w:bCs/>
          <w:color w:val="000000"/>
          <w:sz w:val="32"/>
          <w:szCs w:val="32"/>
          <w:lang w:val="en-US" w:eastAsia="zh-CN"/>
        </w:rPr>
        <w:t xml:space="preserve">  </w:t>
      </w:r>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2021年1月至今，不间断对全校学生进行健康监测的全面排查，坚持对全校学生摸排做到全覆盖、不漏人的常态化疫情防控，认真贯彻“非必要不外出”的防疫要求，全力守好疫情防控的高校阵地。通过推广师生战“疫”先进事迹，打造同心抗“疫”，暖心护航“服务队”，开设学生事务网络办理渠道，全方位服务学生；组织学生参与疫情防控校园管理知识竞赛，引导学生客观理性看待当前疫情形势，自觉在常态化疫情防控中遵守校园安全管理。</w:t>
      </w:r>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仿宋" w:hAnsi="仿宋" w:eastAsia="仿宋" w:cs="仿宋"/>
          <w:b/>
          <w:bCs/>
          <w:color w:val="000000"/>
          <w:sz w:val="32"/>
          <w:szCs w:val="32"/>
          <w:lang w:val="en-US" w:eastAsia="zh-CN"/>
        </w:rPr>
      </w:pPr>
      <w:bookmarkStart w:id="143" w:name="_Toc9398"/>
      <w:r>
        <w:rPr>
          <w:rFonts w:hint="eastAsia" w:ascii="仿宋" w:hAnsi="仿宋" w:eastAsia="仿宋" w:cs="仿宋"/>
          <w:b/>
          <w:bCs/>
          <w:color w:val="000000"/>
          <w:sz w:val="32"/>
          <w:szCs w:val="32"/>
          <w:lang w:val="en-US" w:eastAsia="zh-CN"/>
        </w:rPr>
        <w:t>3.多措并举强化公寓管理，优化疫情防控人性化服务</w:t>
      </w:r>
      <w:bookmarkEnd w:id="143"/>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围绕学生返校前、返校报到、返校后三个阶段精心编制学生宿舍疫情防控方案。加大日常巡查力度，开展地毯式安全隐患排查，检查落实卫生、消毒工作。编印疫情防控学生公寓生活管理须知，通过公寓多媒体播放系统、宣传栏和LED显示屏，全方位开展疫情防控宣传教育。增加遮阳伞、晾晒架、休息椅等公寓生活设施，假期开通物业宿管阿姨帮晒被服、宿舍通风、植被寄养等服务。还特别为13021名学生暖心筹备“建院学子专属健康包”，为毕业生定制建院专属毕业礼物——纪念徽章。</w:t>
      </w:r>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仿宋" w:hAnsi="仿宋" w:eastAsia="仿宋" w:cs="仿宋"/>
          <w:b/>
          <w:bCs/>
          <w:color w:val="000000"/>
          <w:sz w:val="32"/>
          <w:szCs w:val="32"/>
          <w:lang w:val="en-US" w:eastAsia="zh-CN"/>
        </w:rPr>
      </w:pPr>
      <w:bookmarkStart w:id="144" w:name="_Toc10622"/>
      <w:r>
        <w:rPr>
          <w:rFonts w:hint="eastAsia" w:ascii="仿宋" w:hAnsi="仿宋" w:eastAsia="仿宋" w:cs="仿宋"/>
          <w:b/>
          <w:bCs/>
          <w:color w:val="000000"/>
          <w:sz w:val="32"/>
          <w:szCs w:val="32"/>
          <w:lang w:val="en-US" w:eastAsia="zh-CN"/>
        </w:rPr>
        <w:t>4.扎实开展心理支持服务，架起心灵沟通“暖心桥”</w:t>
      </w:r>
      <w:bookmarkEnd w:id="144"/>
      <w:r>
        <w:rPr>
          <w:rFonts w:hint="eastAsia" w:ascii="仿宋" w:hAnsi="仿宋" w:eastAsia="仿宋" w:cs="仿宋"/>
          <w:b/>
          <w:bCs/>
          <w:color w:val="000000"/>
          <w:sz w:val="32"/>
          <w:szCs w:val="32"/>
          <w:lang w:val="en-US" w:eastAsia="zh-CN"/>
        </w:rPr>
        <w:t xml:space="preserve"> </w:t>
      </w:r>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录制系列心理微课，注重疫情防控常态下学生的生命教育；升级心理中心情绪宣泄放松设备，添置音乐放松床、VR动感单车身体调适系统和智能互动宣泄仪各1套，添置心理类书籍，营造心理中心育人育心环境。截至11月18日，年度接待个体咨询452人次、放松体验服务1389人次，转介严重心理问题学生78例，实施危机干预18人次，在一定程度上避免了危机事件的发生。实现医校合作，畅通心理疾病学生就诊绿色通道。</w:t>
      </w:r>
    </w:p>
    <w:p>
      <w:pPr>
        <w:numPr>
          <w:ilvl w:val="0"/>
          <w:numId w:val="0"/>
        </w:numPr>
        <w:pBdr>
          <w:bottom w:val="none" w:color="auto" w:sz="0" w:space="0"/>
        </w:pBdr>
        <w:autoSpaceDE/>
        <w:autoSpaceDN/>
        <w:adjustRightInd/>
        <w:snapToGrid/>
        <w:spacing w:line="560" w:lineRule="exact"/>
        <w:ind w:left="0" w:leftChars="0" w:firstLine="321" w:firstLineChars="100"/>
        <w:rPr>
          <w:rFonts w:hint="eastAsia" w:ascii="楷体" w:hAnsi="楷体" w:eastAsia="楷体" w:cs="楷体"/>
          <w:b/>
          <w:bCs/>
          <w:color w:val="000000"/>
          <w:sz w:val="32"/>
          <w:szCs w:val="32"/>
          <w:lang w:val="en-US" w:eastAsia="zh-CN"/>
        </w:rPr>
      </w:pPr>
      <w:bookmarkStart w:id="145" w:name="_Toc2665"/>
      <w:r>
        <w:rPr>
          <w:rFonts w:hint="eastAsia" w:ascii="楷体" w:hAnsi="楷体" w:eastAsia="楷体" w:cs="楷体"/>
          <w:b/>
          <w:bCs/>
          <w:color w:val="000000"/>
          <w:sz w:val="32"/>
          <w:szCs w:val="32"/>
          <w:lang w:val="en-US" w:eastAsia="zh-CN"/>
        </w:rPr>
        <w:t>（三）教职工管理</w:t>
      </w:r>
      <w:bookmarkEnd w:id="145"/>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仿宋" w:hAnsi="仿宋" w:eastAsia="仿宋" w:cs="仿宋"/>
          <w:color w:val="000000"/>
          <w:sz w:val="32"/>
          <w:szCs w:val="32"/>
          <w:lang w:val="en-US" w:eastAsia="zh-CN"/>
        </w:rPr>
      </w:pPr>
      <w:bookmarkStart w:id="146" w:name="_Toc18708"/>
      <w:r>
        <w:rPr>
          <w:rFonts w:hint="eastAsia" w:ascii="仿宋" w:hAnsi="仿宋" w:eastAsia="仿宋" w:cs="仿宋"/>
          <w:b/>
          <w:bCs/>
          <w:color w:val="000000"/>
          <w:sz w:val="32"/>
          <w:szCs w:val="32"/>
          <w:lang w:val="en-US" w:eastAsia="zh-CN"/>
        </w:rPr>
        <w:t xml:space="preserve">1.全面加强疫情防控监督管理 </w:t>
      </w:r>
      <w:bookmarkEnd w:id="146"/>
      <w:r>
        <w:rPr>
          <w:rFonts w:hint="eastAsia" w:ascii="仿宋" w:hAnsi="仿宋" w:eastAsia="仿宋" w:cs="仿宋"/>
          <w:b/>
          <w:bCs/>
          <w:color w:val="000000"/>
          <w:sz w:val="32"/>
          <w:szCs w:val="32"/>
          <w:lang w:val="en-US" w:eastAsia="zh-CN"/>
        </w:rPr>
        <w:t xml:space="preserve">      </w:t>
      </w:r>
      <w:r>
        <w:rPr>
          <w:rFonts w:hint="eastAsia" w:ascii="仿宋" w:hAnsi="仿宋" w:eastAsia="仿宋" w:cs="仿宋"/>
          <w:color w:val="000000"/>
          <w:sz w:val="32"/>
          <w:szCs w:val="32"/>
          <w:lang w:val="en-US" w:eastAsia="zh-CN"/>
        </w:rPr>
        <w:t xml:space="preserve">                </w:t>
      </w:r>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校严格按照上级有关疫情防控最新要求和工作部署，对教职工实行了严格的疫情防控健康管理，建立了教职工个人健康档案和排查台账。严格实行“周报告”和重点人员“零报告”制度，以及暑期实行“日报告”制度，由学校27个部门排查掌握和报告本部门人员健康情况、与新冠肺炎感染者或疑似患者的接触情况、与重点疫区人员的接触情况、假期外出情况、返邕情况、是否进行核酸检测、是否向所在社区报备等。同时每周五汇总疫情防控周报告，并将数据第一时间报自治区教育厅和自治区住建厅。</w:t>
      </w:r>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仿宋" w:hAnsi="仿宋" w:eastAsia="仿宋" w:cs="仿宋"/>
          <w:b/>
          <w:bCs/>
          <w:color w:val="000000"/>
          <w:sz w:val="32"/>
          <w:szCs w:val="32"/>
          <w:lang w:val="en-US" w:eastAsia="zh-CN"/>
        </w:rPr>
      </w:pPr>
      <w:bookmarkStart w:id="147" w:name="_Toc6981"/>
      <w:r>
        <w:rPr>
          <w:rFonts w:hint="eastAsia" w:ascii="仿宋" w:hAnsi="仿宋" w:eastAsia="仿宋" w:cs="仿宋"/>
          <w:b/>
          <w:bCs/>
          <w:color w:val="000000"/>
          <w:sz w:val="32"/>
          <w:szCs w:val="32"/>
          <w:lang w:val="en-US" w:eastAsia="zh-CN"/>
        </w:rPr>
        <w:t>2.做好教职工疫苗接种工作</w:t>
      </w:r>
      <w:bookmarkEnd w:id="147"/>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协同后勤管理处开展我校教职工疫苗接种工作，截至目前，我校应接种疫苗教职工881人，已完成第一剂22人，已完成第二剂807人，有禁忌症28人，其他24人，并动态统计我校新冠疫苗接种情况，每周四按时向自治区住建厅报送数据。</w:t>
      </w:r>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楷体" w:hAnsi="楷体" w:eastAsia="楷体" w:cs="楷体"/>
          <w:b/>
          <w:bCs/>
          <w:color w:val="000000"/>
          <w:sz w:val="32"/>
          <w:szCs w:val="32"/>
          <w:lang w:val="en-US" w:eastAsia="zh-CN"/>
        </w:rPr>
      </w:pPr>
      <w:bookmarkStart w:id="148" w:name="_Toc8907"/>
      <w:r>
        <w:rPr>
          <w:rFonts w:hint="eastAsia" w:ascii="楷体" w:hAnsi="楷体" w:eastAsia="楷体" w:cs="楷体"/>
          <w:b/>
          <w:bCs/>
          <w:color w:val="000000"/>
          <w:sz w:val="32"/>
          <w:szCs w:val="32"/>
          <w:lang w:val="en-US" w:eastAsia="zh-CN"/>
        </w:rPr>
        <w:t>（四）学校日常管理</w:t>
      </w:r>
      <w:bookmarkEnd w:id="148"/>
    </w:p>
    <w:bookmarkEnd w:id="128"/>
    <w:bookmarkEnd w:id="129"/>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bookmarkStart w:id="149" w:name="_Toc23879_WPSOffice_Level2"/>
      <w:r>
        <w:rPr>
          <w:rFonts w:hint="eastAsia" w:ascii="仿宋" w:hAnsi="仿宋" w:eastAsia="仿宋" w:cs="仿宋"/>
          <w:color w:val="000000"/>
          <w:sz w:val="32"/>
          <w:szCs w:val="32"/>
          <w:lang w:val="en-US" w:eastAsia="zh-CN"/>
        </w:rPr>
        <w:t>树立“健康安全第一，责任重于泰山”的工作指导思想，坚决贯彻落实“预防为主，防治结合”的学校卫生工作方针，围绕新冠疫情防控常态化组织开展工作，全力为维护学校正常的教学秩序和生活秩序提供有力的安全保障。</w:t>
      </w:r>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仿宋" w:hAnsi="仿宋" w:eastAsia="仿宋" w:cs="仿宋"/>
          <w:b/>
          <w:bCs/>
          <w:color w:val="000000"/>
          <w:sz w:val="32"/>
          <w:szCs w:val="32"/>
          <w:lang w:val="en-US" w:eastAsia="zh-CN"/>
        </w:rPr>
      </w:pPr>
      <w:bookmarkStart w:id="150" w:name="_Toc22494"/>
      <w:r>
        <w:rPr>
          <w:rFonts w:hint="eastAsia" w:ascii="仿宋" w:hAnsi="仿宋" w:eastAsia="仿宋" w:cs="仿宋"/>
          <w:b/>
          <w:bCs/>
          <w:color w:val="000000"/>
          <w:sz w:val="32"/>
          <w:szCs w:val="32"/>
          <w:lang w:val="en-US" w:eastAsia="zh-CN"/>
        </w:rPr>
        <w:t>1.高标准、严要求推进常态化疫情防控工作保障</w:t>
      </w:r>
      <w:bookmarkEnd w:id="150"/>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是加强组织领导，强化政治站位，建立联动机制，主动作为。聚焦关键环节，开展全天候监督检查，确保各项防控措施严格落实。二是制定完善工作方案及相关制度预案，构建科学防控机制。结合学校实际，构建联防联控的防控体系抓好大门管理、食品安全、医疗保障、校园消杀工作等校园常态化疫情防控工作。三是守好学校疫情防控阵地，坚决打赢新冠肺炎疫情防控持久战，实时解新冠肺炎疫情发展动态，认真做好疫情监控和预警工作。牵头负责及时重点人群的协查、排查和管理工作。四是做好疫情防控物资、隔离场所等各项应急准备和管理，不断查缺补漏，优化各环节流程。</w:t>
      </w:r>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仿宋" w:hAnsi="仿宋" w:eastAsia="仿宋" w:cs="仿宋"/>
          <w:b/>
          <w:bCs/>
          <w:color w:val="000000"/>
          <w:sz w:val="32"/>
          <w:szCs w:val="32"/>
          <w:lang w:val="en-US" w:eastAsia="zh-CN"/>
        </w:rPr>
      </w:pPr>
      <w:bookmarkStart w:id="151" w:name="_Toc17379"/>
      <w:r>
        <w:rPr>
          <w:rFonts w:hint="eastAsia" w:ascii="仿宋" w:hAnsi="仿宋" w:eastAsia="仿宋" w:cs="仿宋"/>
          <w:b/>
          <w:bCs/>
          <w:color w:val="000000"/>
          <w:sz w:val="32"/>
          <w:szCs w:val="32"/>
          <w:lang w:val="en-US" w:eastAsia="zh-CN"/>
        </w:rPr>
        <w:t>2.牵头推进大型新冠疫苗进校园接种工作</w:t>
      </w:r>
      <w:bookmarkEnd w:id="151"/>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贯彻落实中央和自治区的决策部署，扎实做好防疫工作和新冠病毒疫苗接种工作，开展便民服务，后勤管理处（安全保卫处）牵头负责、及时主动和属地卫生健康部门对接，扎实、规范、有序推进我校疫苗接种工作，结合学校实际制定具体实施方案，通过多次开展工作专项协调会，集全院之力按步骤、分阶段、分批次完成我校符合接种条件教职员工和学生的新冠病毒疫苗接种工作，整个接种疫苗过程秩序井然，无异常情况发生，单日最大接种人数达到9963人。单日接种效率之高在周边高校里名列前茅，获得属地卫生健康部门高度评价。截至11月，在校学生完成全程疫苗接种率超过99%，教职员工完成疫苗全程接种率已达94%，助力构建全员免疫屏障。</w:t>
      </w:r>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黑体" w:hAnsi="黑体" w:eastAsia="黑体" w:cs="黑体"/>
          <w:b/>
          <w:bCs/>
          <w:color w:val="000000"/>
          <w:sz w:val="32"/>
          <w:szCs w:val="32"/>
          <w:lang w:val="en-US" w:eastAsia="zh-CN"/>
        </w:rPr>
      </w:pPr>
      <w:bookmarkStart w:id="152" w:name="_Toc21384"/>
      <w:r>
        <w:rPr>
          <w:rFonts w:hint="eastAsia" w:ascii="黑体" w:hAnsi="黑体" w:eastAsia="黑体" w:cs="黑体"/>
          <w:b/>
          <w:bCs/>
          <w:color w:val="000000"/>
          <w:sz w:val="32"/>
          <w:szCs w:val="32"/>
          <w:lang w:val="en-US" w:eastAsia="zh-CN"/>
        </w:rPr>
        <w:t>八、挑战与展望</w:t>
      </w:r>
      <w:bookmarkEnd w:id="152"/>
    </w:p>
    <w:p>
      <w:pPr>
        <w:numPr>
          <w:ilvl w:val="0"/>
          <w:numId w:val="0"/>
        </w:numPr>
        <w:pBdr>
          <w:bottom w:val="none" w:color="auto" w:sz="0" w:space="0"/>
        </w:pBdr>
        <w:autoSpaceDE/>
        <w:autoSpaceDN/>
        <w:adjustRightInd/>
        <w:snapToGrid/>
        <w:spacing w:line="560" w:lineRule="exact"/>
        <w:ind w:left="0" w:leftChars="0" w:firstLine="643" w:firstLineChars="200"/>
        <w:rPr>
          <w:rFonts w:hint="eastAsia" w:ascii="楷体" w:hAnsi="楷体" w:eastAsia="楷体" w:cs="楷体"/>
          <w:b/>
          <w:bCs/>
          <w:color w:val="000000"/>
          <w:sz w:val="32"/>
          <w:szCs w:val="32"/>
          <w:lang w:val="en-US" w:eastAsia="zh-CN"/>
        </w:rPr>
      </w:pPr>
      <w:bookmarkStart w:id="153" w:name="_Toc2349"/>
      <w:r>
        <w:rPr>
          <w:rFonts w:hint="eastAsia" w:ascii="楷体" w:hAnsi="楷体" w:eastAsia="楷体" w:cs="楷体"/>
          <w:b/>
          <w:bCs/>
          <w:color w:val="000000"/>
          <w:sz w:val="32"/>
          <w:szCs w:val="32"/>
          <w:lang w:val="en-US" w:eastAsia="zh-CN"/>
        </w:rPr>
        <w:t>（一）挑战</w:t>
      </w:r>
      <w:bookmarkEnd w:id="149"/>
      <w:bookmarkEnd w:id="153"/>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目前，广西建设职业技术学院与国内一流职业类院校相比，还存在一些问题和差距，还有一些深层次的难题需要破解。主要表现在：一是办学层次结构比较单一，难以适应地区产业转型升级对高水平技术技能人才的需求；二是双高专业群建设、优质课程建设尚需加大力度，专业群与产业发展的互动调整机制尚未有效建立；三是人才培养模式、校企深度合作模式尚需进一步探索实践；四是标志性成果培育工作亟待加强，整体推进执行力不足；五高水平师资引进与稳定不够，建筑行业中有行业权威、国际影响的专业群带头人和有技术攻关能力的高精尖人才较少，学校还缺乏吸引高精尖人才的政策和机制；六是国际化水平有待进一步提升，面向东盟的国际化办学渠道、教师的国际化视野有待拓宽，内涵有待提升；七是实训、设施设备改造升级任务重，信息化水平有待进一步提高；八是现代化的内部治理水平仍需加强，治理能力有待提升。</w:t>
      </w:r>
    </w:p>
    <w:p>
      <w:pPr>
        <w:numPr>
          <w:ilvl w:val="0"/>
          <w:numId w:val="0"/>
        </w:numPr>
        <w:pBdr>
          <w:bottom w:val="none" w:color="auto" w:sz="0" w:space="0"/>
        </w:pBdr>
        <w:autoSpaceDE/>
        <w:autoSpaceDN/>
        <w:adjustRightInd/>
        <w:snapToGrid/>
        <w:spacing w:line="560" w:lineRule="exact"/>
        <w:ind w:left="0" w:leftChars="0" w:firstLine="321" w:firstLineChars="100"/>
        <w:rPr>
          <w:rFonts w:hint="eastAsia" w:ascii="楷体" w:hAnsi="楷体" w:eastAsia="楷体" w:cs="楷体"/>
          <w:b/>
          <w:bCs/>
          <w:color w:val="000000"/>
          <w:sz w:val="32"/>
          <w:szCs w:val="32"/>
          <w:lang w:val="en-US" w:eastAsia="zh-CN"/>
        </w:rPr>
      </w:pPr>
      <w:bookmarkStart w:id="154" w:name="_Toc17842_WPSOffice_Level2"/>
      <w:bookmarkStart w:id="155" w:name="_Toc23411"/>
      <w:r>
        <w:rPr>
          <w:rFonts w:hint="eastAsia" w:ascii="楷体" w:hAnsi="楷体" w:eastAsia="楷体" w:cs="楷体"/>
          <w:b/>
          <w:bCs/>
          <w:color w:val="000000"/>
          <w:sz w:val="32"/>
          <w:szCs w:val="32"/>
          <w:lang w:val="en-US" w:eastAsia="zh-CN"/>
        </w:rPr>
        <w:t>（二）展望</w:t>
      </w:r>
      <w:bookmarkEnd w:id="154"/>
      <w:bookmarkEnd w:id="155"/>
    </w:p>
    <w:p>
      <w:pPr>
        <w:numPr>
          <w:ilvl w:val="0"/>
          <w:numId w:val="0"/>
        </w:numPr>
        <w:pBdr>
          <w:bottom w:val="none" w:color="auto" w:sz="0" w:space="0"/>
        </w:pBdr>
        <w:autoSpaceDE/>
        <w:autoSpaceDN/>
        <w:adjustRightInd/>
        <w:snapToGrid/>
        <w:spacing w:line="560" w:lineRule="exact"/>
        <w:ind w:left="0" w:lef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下一步，学校将继续以习近平新时代中国特色社会主义思想为指导，以立德树人为根本，紧扣职业教育改革方向，落实好总书记在全国教育大会上提出的六个下功夫，用习近平新时代中国特色社会主义思想铸魂育人，围绕“五位一体”总体布局和“四个全面”的战略布局，按照习近平总书记对广西赋予的“三大定位”“五个扎实”新要求，解放思想，改革创新，适应互联网加职业教育新要求，围绕服务行业产业转型升级、区域经济社会发展和国家重大战略，深度参与“一带一路”和粤港澳大湾区建设，推动学校内涵式发展，健全德技并修、工学结合的育人机制，以校企合作为抓手，深化人才培养模式改革，加快高水平学校和高水平专业群建设，重点在专业建设、三教改革、师资队伍建设、创新创业教育、应用技术研发、社会服务、国际化水平等方面进一步加强改革和探索，为建设“壮美广西”、“一带一路”提供坚实的人才保障、智力支持和技术支撑，形成引领建设类职业教育改革发展的“广西建设标准”和“广西建设模式”， 成为全国一流水平、国际化特色鲜明的高水平高职学校。</w:t>
      </w:r>
      <w:bookmarkStart w:id="156" w:name="_Toc22298_WPSOffice_Level1"/>
    </w:p>
    <w:p>
      <w:pPr>
        <w:pStyle w:val="3"/>
        <w:bidi w:val="0"/>
        <w:rPr>
          <w:rFonts w:hint="default"/>
          <w:lang w:val="en-US" w:eastAsia="zh-Hans"/>
        </w:rPr>
      </w:pPr>
      <w:bookmarkStart w:id="157" w:name="_Toc26673"/>
    </w:p>
    <w:p>
      <w:pPr>
        <w:pStyle w:val="3"/>
        <w:bidi w:val="0"/>
        <w:rPr>
          <w:rFonts w:hint="default"/>
          <w:lang w:val="en-US" w:eastAsia="zh-Hans"/>
        </w:rPr>
      </w:pPr>
      <w:r>
        <w:rPr>
          <w:rFonts w:hint="default"/>
          <w:lang w:val="en-US" w:eastAsia="zh-Hans"/>
        </w:rPr>
        <w:t>九</w:t>
      </w:r>
      <w:r>
        <w:rPr>
          <w:rFonts w:hint="default"/>
          <w:lang w:eastAsia="zh-CN"/>
        </w:rPr>
        <w:t>、相关附表</w:t>
      </w:r>
      <w:bookmarkEnd w:id="156"/>
      <w:bookmarkEnd w:id="157"/>
    </w:p>
    <w:p>
      <w:pPr>
        <w:pageBreakBefore w:val="0"/>
        <w:kinsoku/>
        <w:wordWrap/>
        <w:overflowPunct/>
        <w:topLinePunct w:val="0"/>
        <w:bidi w:val="0"/>
        <w:spacing w:line="560" w:lineRule="exact"/>
        <w:ind w:right="0" w:rightChars="0"/>
        <w:jc w:val="center"/>
        <w:textAlignment w:val="auto"/>
        <w:rPr>
          <w:rFonts w:hint="default" w:ascii="Times New Roman" w:hAnsi="Times New Roman" w:cs="Times New Roman" w:eastAsiaTheme="minorEastAsia"/>
          <w:b/>
          <w:color w:val="000000"/>
          <w:kern w:val="0"/>
          <w:sz w:val="24"/>
          <w:szCs w:val="24"/>
        </w:rPr>
      </w:pPr>
    </w:p>
    <w:p>
      <w:pPr>
        <w:pStyle w:val="4"/>
        <w:bidi w:val="0"/>
        <w:jc w:val="center"/>
        <w:rPr>
          <w:rFonts w:hint="default" w:ascii="Times New Roman" w:hAnsi="Times New Roman" w:eastAsia="楷体" w:cs="Times New Roman"/>
          <w:b/>
          <w:bCs/>
        </w:rPr>
      </w:pPr>
      <w:bookmarkStart w:id="158" w:name="_Toc24503"/>
      <w:r>
        <w:rPr>
          <w:rFonts w:hint="default" w:ascii="Times New Roman" w:hAnsi="Times New Roman" w:eastAsia="楷体" w:cs="Times New Roman"/>
          <w:b/>
          <w:bCs/>
        </w:rPr>
        <w:t>表1 计分卡</w:t>
      </w:r>
      <w:bookmarkEnd w:id="158"/>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761"/>
        <w:gridCol w:w="576"/>
        <w:gridCol w:w="3212"/>
        <w:gridCol w:w="943"/>
        <w:gridCol w:w="997"/>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19"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sz w:val="24"/>
                <w:szCs w:val="24"/>
              </w:rPr>
            </w:pP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b/>
                <w:bCs/>
                <w:color w:val="000000"/>
                <w:sz w:val="24"/>
                <w:szCs w:val="24"/>
              </w:rPr>
              <w:t>院校代码</w:t>
            </w:r>
          </w:p>
        </w:tc>
        <w:tc>
          <w:tcPr>
            <w:tcW w:w="761"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sz w:val="24"/>
                <w:szCs w:val="24"/>
              </w:rPr>
            </w:pP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b/>
                <w:bCs/>
                <w:color w:val="000000"/>
                <w:sz w:val="24"/>
                <w:szCs w:val="24"/>
              </w:rPr>
              <w:t>院校名称</w:t>
            </w:r>
          </w:p>
        </w:tc>
        <w:tc>
          <w:tcPr>
            <w:tcW w:w="3788" w:type="dxa"/>
            <w:gridSpan w:val="2"/>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b/>
                <w:bCs/>
                <w:color w:val="000000"/>
                <w:sz w:val="24"/>
                <w:szCs w:val="24"/>
              </w:rPr>
            </w:pPr>
          </w:p>
          <w:p>
            <w:pPr>
              <w:keepNext w:val="0"/>
              <w:keepLines w:val="0"/>
              <w:suppressLineNumbers w:val="0"/>
              <w:spacing w:before="0" w:beforeAutospacing="0" w:after="0" w:afterAutospacing="0" w:line="240" w:lineRule="auto"/>
              <w:ind w:left="0" w:right="0" w:firstLine="1446" w:firstLineChars="600"/>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指标</w:t>
            </w:r>
          </w:p>
        </w:tc>
        <w:tc>
          <w:tcPr>
            <w:tcW w:w="943" w:type="dxa"/>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b/>
                <w:bCs/>
                <w:color w:val="000000"/>
                <w:sz w:val="24"/>
                <w:szCs w:val="24"/>
              </w:rPr>
            </w:pP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单位</w:t>
            </w:r>
          </w:p>
        </w:tc>
        <w:tc>
          <w:tcPr>
            <w:tcW w:w="0" w:type="auto"/>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b/>
                <w:bCs/>
                <w:color w:val="000000"/>
                <w:sz w:val="24"/>
                <w:szCs w:val="24"/>
              </w:rPr>
            </w:pP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2020年</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b/>
                <w:bCs/>
                <w:color w:val="000000"/>
                <w:sz w:val="24"/>
                <w:szCs w:val="24"/>
              </w:rPr>
            </w:pPr>
          </w:p>
        </w:tc>
        <w:tc>
          <w:tcPr>
            <w:tcW w:w="0" w:type="auto"/>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b/>
                <w:bCs/>
                <w:color w:val="000000"/>
                <w:sz w:val="24"/>
                <w:szCs w:val="24"/>
              </w:rPr>
            </w:pP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2021年</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19" w:type="dxa"/>
            <w:vMerge w:val="restart"/>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lang w:val="en-US" w:eastAsia="zh-CN"/>
              </w:rPr>
            </w:pP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lang w:val="en-US" w:eastAsia="zh-CN"/>
              </w:rPr>
            </w:pP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lang w:val="en-US" w:eastAsia="zh-CN"/>
              </w:rPr>
            </w:pPr>
          </w:p>
          <w:p>
            <w:pPr>
              <w:keepNext w:val="0"/>
              <w:keepLines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sz w:val="24"/>
                <w:szCs w:val="24"/>
                <w:lang w:val="en-US" w:eastAsia="zh-CN"/>
              </w:rPr>
            </w:pP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lang w:val="en-US" w:eastAsia="zh-CN"/>
              </w:rPr>
            </w:pP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13138</w:t>
            </w:r>
          </w:p>
        </w:tc>
        <w:tc>
          <w:tcPr>
            <w:tcW w:w="761" w:type="dxa"/>
            <w:vMerge w:val="restart"/>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lang w:val="en-US" w:eastAsia="zh-CN"/>
              </w:rPr>
            </w:pP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广</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西</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建</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设</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职</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业</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技</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术</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院</w:t>
            </w:r>
          </w:p>
        </w:tc>
        <w:tc>
          <w:tcPr>
            <w:tcW w:w="576"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3212"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就业率</w:t>
            </w:r>
          </w:p>
        </w:tc>
        <w:tc>
          <w:tcPr>
            <w:tcW w:w="943"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w:t>
            </w:r>
          </w:p>
        </w:tc>
        <w:tc>
          <w:tcPr>
            <w:tcW w:w="0" w:type="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95.38</w:t>
            </w:r>
          </w:p>
        </w:tc>
        <w:tc>
          <w:tcPr>
            <w:tcW w:w="0" w:type="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19" w:type="dxa"/>
            <w:vMerge w:val="continu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p>
        </w:tc>
        <w:tc>
          <w:tcPr>
            <w:tcW w:w="761" w:type="dxa"/>
            <w:vMerge w:val="continu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p>
        </w:tc>
        <w:tc>
          <w:tcPr>
            <w:tcW w:w="576"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3212"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毕业生本省就业比例</w:t>
            </w:r>
          </w:p>
        </w:tc>
        <w:tc>
          <w:tcPr>
            <w:tcW w:w="943"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c>
          <w:tcPr>
            <w:tcW w:w="0" w:type="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64.96</w:t>
            </w:r>
          </w:p>
        </w:tc>
        <w:tc>
          <w:tcPr>
            <w:tcW w:w="0" w:type="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81.14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19" w:type="dxa"/>
            <w:vMerge w:val="continu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p>
        </w:tc>
        <w:tc>
          <w:tcPr>
            <w:tcW w:w="761" w:type="dxa"/>
            <w:vMerge w:val="continu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p>
        </w:tc>
        <w:tc>
          <w:tcPr>
            <w:tcW w:w="576"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3212"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月收入</w:t>
            </w:r>
          </w:p>
        </w:tc>
        <w:tc>
          <w:tcPr>
            <w:tcW w:w="943"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元</w:t>
            </w:r>
          </w:p>
        </w:tc>
        <w:tc>
          <w:tcPr>
            <w:tcW w:w="0" w:type="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3592.00</w:t>
            </w:r>
          </w:p>
        </w:tc>
        <w:tc>
          <w:tcPr>
            <w:tcW w:w="0" w:type="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3774.00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19" w:type="dxa"/>
            <w:vMerge w:val="continu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p>
        </w:tc>
        <w:tc>
          <w:tcPr>
            <w:tcW w:w="761" w:type="dxa"/>
            <w:vMerge w:val="continu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p>
        </w:tc>
        <w:tc>
          <w:tcPr>
            <w:tcW w:w="576"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3212"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理工农医类专业相关度</w:t>
            </w:r>
          </w:p>
        </w:tc>
        <w:tc>
          <w:tcPr>
            <w:tcW w:w="943" w:type="dxa"/>
          </w:tcPr>
          <w:p>
            <w:pPr>
              <w:keepNext w:val="0"/>
              <w:keepLines w:val="0"/>
              <w:suppressLineNumbers w:val="0"/>
              <w:spacing w:before="0" w:beforeAutospacing="0" w:after="0" w:afterAutospacing="0" w:line="240" w:lineRule="auto"/>
              <w:ind w:left="0" w:right="0" w:firstLine="240" w:firstLineChars="10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c>
          <w:tcPr>
            <w:tcW w:w="0" w:type="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82.00</w:t>
            </w:r>
          </w:p>
        </w:tc>
        <w:tc>
          <w:tcPr>
            <w:tcW w:w="0" w:type="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89.18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19" w:type="dxa"/>
            <w:vMerge w:val="continu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p>
        </w:tc>
        <w:tc>
          <w:tcPr>
            <w:tcW w:w="761" w:type="dxa"/>
            <w:vMerge w:val="continu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p>
        </w:tc>
        <w:tc>
          <w:tcPr>
            <w:tcW w:w="576" w:type="dxa"/>
          </w:tcPr>
          <w:p>
            <w:pPr>
              <w:keepNext w:val="0"/>
              <w:keepLines w:val="0"/>
              <w:suppressLineNumbers w:val="0"/>
              <w:tabs>
                <w:tab w:val="left" w:pos="1065"/>
              </w:tabs>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3212"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母校满意度</w:t>
            </w:r>
          </w:p>
        </w:tc>
        <w:tc>
          <w:tcPr>
            <w:tcW w:w="943"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c>
          <w:tcPr>
            <w:tcW w:w="0" w:type="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98.00</w:t>
            </w:r>
          </w:p>
        </w:tc>
        <w:tc>
          <w:tcPr>
            <w:tcW w:w="0" w:type="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19" w:type="dxa"/>
            <w:vMerge w:val="continu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p>
        </w:tc>
        <w:tc>
          <w:tcPr>
            <w:tcW w:w="761" w:type="dxa"/>
            <w:vMerge w:val="continu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p>
        </w:tc>
        <w:tc>
          <w:tcPr>
            <w:tcW w:w="576"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3212"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自主创业比例</w:t>
            </w:r>
          </w:p>
        </w:tc>
        <w:tc>
          <w:tcPr>
            <w:tcW w:w="943"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c>
          <w:tcPr>
            <w:tcW w:w="0" w:type="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1.90</w:t>
            </w:r>
          </w:p>
        </w:tc>
        <w:tc>
          <w:tcPr>
            <w:tcW w:w="0" w:type="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19" w:type="dxa"/>
            <w:vMerge w:val="continu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p>
        </w:tc>
        <w:tc>
          <w:tcPr>
            <w:tcW w:w="761" w:type="dxa"/>
            <w:vMerge w:val="continu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p>
        </w:tc>
        <w:tc>
          <w:tcPr>
            <w:tcW w:w="576"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3212"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雇主满意度</w:t>
            </w:r>
          </w:p>
        </w:tc>
        <w:tc>
          <w:tcPr>
            <w:tcW w:w="943"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c>
          <w:tcPr>
            <w:tcW w:w="0" w:type="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95.90</w:t>
            </w:r>
          </w:p>
        </w:tc>
        <w:tc>
          <w:tcPr>
            <w:tcW w:w="0" w:type="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919" w:type="dxa"/>
            <w:vMerge w:val="continu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p>
        </w:tc>
        <w:tc>
          <w:tcPr>
            <w:tcW w:w="761" w:type="dxa"/>
            <w:vMerge w:val="continue"/>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p>
        </w:tc>
        <w:tc>
          <w:tcPr>
            <w:tcW w:w="576"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3212"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毕业三年职位晋升比例</w:t>
            </w:r>
          </w:p>
        </w:tc>
        <w:tc>
          <w:tcPr>
            <w:tcW w:w="943" w:type="dxa"/>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c>
          <w:tcPr>
            <w:tcW w:w="0" w:type="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64.00</w:t>
            </w:r>
          </w:p>
        </w:tc>
        <w:tc>
          <w:tcPr>
            <w:tcW w:w="0" w:type="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55.00</w:t>
            </w:r>
          </w:p>
        </w:tc>
      </w:tr>
    </w:tbl>
    <w:p>
      <w:pPr>
        <w:spacing w:line="240" w:lineRule="auto"/>
        <w:ind w:firstLine="3092" w:firstLineChars="1100"/>
        <w:rPr>
          <w:rFonts w:hint="default" w:ascii="Times New Roman" w:hAnsi="Times New Roman" w:eastAsia="宋体" w:cs="Times New Roman"/>
          <w:b/>
          <w:sz w:val="28"/>
          <w:szCs w:val="28"/>
        </w:rPr>
      </w:pPr>
    </w:p>
    <w:p>
      <w:pPr>
        <w:pStyle w:val="4"/>
        <w:bidi w:val="0"/>
        <w:ind w:firstLine="3213" w:firstLineChars="1000"/>
        <w:rPr>
          <w:rFonts w:hint="default" w:ascii="Times New Roman" w:hAnsi="Times New Roman" w:eastAsia="楷体" w:cs="Times New Roman"/>
        </w:rPr>
      </w:pPr>
      <w:bookmarkStart w:id="159" w:name="_Toc26257"/>
      <w:r>
        <w:rPr>
          <w:rFonts w:hint="default" w:ascii="Times New Roman" w:hAnsi="Times New Roman" w:eastAsia="楷体" w:cs="Times New Roman"/>
        </w:rPr>
        <w:t>表2 学生反馈表</w:t>
      </w:r>
      <w:bookmarkEnd w:id="159"/>
    </w:p>
    <w:tbl>
      <w:tblPr>
        <w:tblStyle w:val="13"/>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750"/>
        <w:gridCol w:w="544"/>
        <w:gridCol w:w="1581"/>
        <w:gridCol w:w="1275"/>
        <w:gridCol w:w="762"/>
        <w:gridCol w:w="1050"/>
        <w:gridCol w:w="1013"/>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院校代码</w:t>
            </w:r>
          </w:p>
        </w:tc>
        <w:tc>
          <w:tcPr>
            <w:tcW w:w="7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院校名称</w:t>
            </w:r>
          </w:p>
        </w:tc>
        <w:tc>
          <w:tcPr>
            <w:tcW w:w="3400"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指标</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单位</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2020级</w:t>
            </w:r>
          </w:p>
        </w:tc>
        <w:tc>
          <w:tcPr>
            <w:tcW w:w="10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2021级</w:t>
            </w:r>
          </w:p>
        </w:tc>
        <w:tc>
          <w:tcPr>
            <w:tcW w:w="7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80"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13138</w:t>
            </w:r>
          </w:p>
        </w:tc>
        <w:tc>
          <w:tcPr>
            <w:tcW w:w="750"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院</w:t>
            </w:r>
          </w:p>
        </w:tc>
        <w:tc>
          <w:tcPr>
            <w:tcW w:w="54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sz w:val="24"/>
                <w:szCs w:val="24"/>
                <w:lang w:val="en-US" w:eastAsia="zh-CN"/>
              </w:rPr>
              <w:t>1</w:t>
            </w:r>
          </w:p>
        </w:tc>
        <w:tc>
          <w:tcPr>
            <w:tcW w:w="2856"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全日制在校人数</w:t>
            </w:r>
          </w:p>
        </w:tc>
        <w:tc>
          <w:tcPr>
            <w:tcW w:w="76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w:t>
            </w:r>
          </w:p>
        </w:tc>
        <w:tc>
          <w:tcPr>
            <w:tcW w:w="10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7498</w:t>
            </w:r>
          </w:p>
        </w:tc>
        <w:tc>
          <w:tcPr>
            <w:tcW w:w="101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7547</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2856"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教书育人满意度</w:t>
            </w:r>
          </w:p>
        </w:tc>
        <w:tc>
          <w:tcPr>
            <w:tcW w:w="76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w:t>
            </w:r>
          </w:p>
        </w:tc>
        <w:tc>
          <w:tcPr>
            <w:tcW w:w="10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sz w:val="24"/>
                <w:szCs w:val="24"/>
              </w:rPr>
            </w:pPr>
          </w:p>
        </w:tc>
        <w:tc>
          <w:tcPr>
            <w:tcW w:w="101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58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课堂育人</w:t>
            </w:r>
          </w:p>
        </w:tc>
        <w:tc>
          <w:tcPr>
            <w:tcW w:w="12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调研人次</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人次</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7491</w:t>
            </w:r>
          </w:p>
        </w:tc>
        <w:tc>
          <w:tcPr>
            <w:tcW w:w="10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754</w:t>
            </w:r>
            <w:r>
              <w:rPr>
                <w:rFonts w:hint="default" w:ascii="Times New Roman" w:hAnsi="Times New Roman" w:eastAsia="宋体" w:cs="Times New Roman"/>
                <w:sz w:val="24"/>
                <w:szCs w:val="24"/>
                <w:lang w:val="en-US" w:eastAsia="zh-CN"/>
              </w:rPr>
              <w:t>0</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58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2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满意度</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95.7</w:t>
            </w:r>
          </w:p>
        </w:tc>
        <w:tc>
          <w:tcPr>
            <w:tcW w:w="10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96.2</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58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课外育人</w:t>
            </w:r>
          </w:p>
        </w:tc>
        <w:tc>
          <w:tcPr>
            <w:tcW w:w="12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调研人次</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人次</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3440</w:t>
            </w:r>
          </w:p>
        </w:tc>
        <w:tc>
          <w:tcPr>
            <w:tcW w:w="10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3000</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581"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2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满意度</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90</w:t>
            </w:r>
          </w:p>
        </w:tc>
        <w:tc>
          <w:tcPr>
            <w:tcW w:w="10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92</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3</w:t>
            </w:r>
          </w:p>
        </w:tc>
        <w:tc>
          <w:tcPr>
            <w:tcW w:w="2856" w:type="dxa"/>
            <w:gridSpan w:val="2"/>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课堂教学满意度</w:t>
            </w:r>
          </w:p>
        </w:tc>
        <w:tc>
          <w:tcPr>
            <w:tcW w:w="76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01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581"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(1</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sz w:val="24"/>
                <w:szCs w:val="24"/>
              </w:rPr>
              <w:t>思想政治课教学</w:t>
            </w:r>
          </w:p>
        </w:tc>
        <w:tc>
          <w:tcPr>
            <w:tcW w:w="12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调研课次</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课次</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18</w:t>
            </w:r>
          </w:p>
        </w:tc>
        <w:tc>
          <w:tcPr>
            <w:tcW w:w="10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581"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sz w:val="24"/>
                <w:szCs w:val="24"/>
              </w:rPr>
            </w:pPr>
          </w:p>
        </w:tc>
        <w:tc>
          <w:tcPr>
            <w:tcW w:w="12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满意度</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92.8</w:t>
            </w:r>
          </w:p>
        </w:tc>
        <w:tc>
          <w:tcPr>
            <w:tcW w:w="101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94.5</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581"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公共基础课（不含思想政治课）</w:t>
            </w:r>
          </w:p>
        </w:tc>
        <w:tc>
          <w:tcPr>
            <w:tcW w:w="12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调研课次</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课次</w:t>
            </w:r>
          </w:p>
        </w:tc>
        <w:tc>
          <w:tcPr>
            <w:tcW w:w="10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101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581"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2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满意度</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89.16</w:t>
            </w:r>
          </w:p>
        </w:tc>
        <w:tc>
          <w:tcPr>
            <w:tcW w:w="101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92.04</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581"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（3）专业课教学</w:t>
            </w:r>
          </w:p>
        </w:tc>
        <w:tc>
          <w:tcPr>
            <w:tcW w:w="12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调研课次</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课次</w:t>
            </w:r>
          </w:p>
        </w:tc>
        <w:tc>
          <w:tcPr>
            <w:tcW w:w="10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w:t>
            </w:r>
          </w:p>
        </w:tc>
        <w:tc>
          <w:tcPr>
            <w:tcW w:w="101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581"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2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满意度</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93</w:t>
            </w:r>
          </w:p>
        </w:tc>
        <w:tc>
          <w:tcPr>
            <w:tcW w:w="101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95.1</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4</w:t>
            </w:r>
          </w:p>
        </w:tc>
        <w:tc>
          <w:tcPr>
            <w:tcW w:w="158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管理服务工作满意度</w:t>
            </w:r>
          </w:p>
        </w:tc>
        <w:tc>
          <w:tcPr>
            <w:tcW w:w="127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240" w:firstLineChars="100"/>
              <w:jc w:val="center"/>
              <w:textAlignment w:val="auto"/>
              <w:rPr>
                <w:rFonts w:hint="default" w:ascii="Times New Roman" w:hAnsi="Times New Roman" w:eastAsia="宋体" w:cs="Times New Roman"/>
                <w:color w:val="000000"/>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w:t>
            </w:r>
          </w:p>
        </w:tc>
        <w:tc>
          <w:tcPr>
            <w:tcW w:w="76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0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01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581"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（1）学生工作</w:t>
            </w:r>
          </w:p>
        </w:tc>
        <w:tc>
          <w:tcPr>
            <w:tcW w:w="12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调研人次</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人次</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1470</w:t>
            </w:r>
          </w:p>
        </w:tc>
        <w:tc>
          <w:tcPr>
            <w:tcW w:w="10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1510</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581"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2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满意度</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94.4</w:t>
            </w:r>
          </w:p>
        </w:tc>
        <w:tc>
          <w:tcPr>
            <w:tcW w:w="10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95.7</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581"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（2）教学管理</w:t>
            </w:r>
          </w:p>
        </w:tc>
        <w:tc>
          <w:tcPr>
            <w:tcW w:w="12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调研人次</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人次</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100</w:t>
            </w:r>
          </w:p>
        </w:tc>
        <w:tc>
          <w:tcPr>
            <w:tcW w:w="10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98</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581"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2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满意度</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94.5</w:t>
            </w:r>
          </w:p>
        </w:tc>
        <w:tc>
          <w:tcPr>
            <w:tcW w:w="10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93.48</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581"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（3）后勤服务</w:t>
            </w:r>
          </w:p>
        </w:tc>
        <w:tc>
          <w:tcPr>
            <w:tcW w:w="12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调研人次</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人次</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1200</w:t>
            </w:r>
          </w:p>
        </w:tc>
        <w:tc>
          <w:tcPr>
            <w:tcW w:w="10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1200</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581"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12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满意度</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91.25</w:t>
            </w:r>
          </w:p>
        </w:tc>
        <w:tc>
          <w:tcPr>
            <w:tcW w:w="10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92.5</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5</w:t>
            </w:r>
          </w:p>
        </w:tc>
        <w:tc>
          <w:tcPr>
            <w:tcW w:w="2856" w:type="dxa"/>
            <w:gridSpan w:val="2"/>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学生参与志愿者活动时间</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人日</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21011</w:t>
            </w:r>
          </w:p>
        </w:tc>
        <w:tc>
          <w:tcPr>
            <w:tcW w:w="10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7180</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6</w:t>
            </w:r>
          </w:p>
        </w:tc>
        <w:tc>
          <w:tcPr>
            <w:tcW w:w="2856" w:type="dxa"/>
            <w:gridSpan w:val="2"/>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学生社团参与度</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15.55</w:t>
            </w:r>
          </w:p>
        </w:tc>
        <w:tc>
          <w:tcPr>
            <w:tcW w:w="10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24.91</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2856"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（1）学生社团数</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个</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43</w:t>
            </w:r>
          </w:p>
        </w:tc>
        <w:tc>
          <w:tcPr>
            <w:tcW w:w="10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43</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75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Times New Roman" w:hAnsi="Times New Roman" w:eastAsia="宋体" w:cs="Times New Roman"/>
                <w:sz w:val="24"/>
                <w:szCs w:val="24"/>
              </w:rPr>
            </w:pPr>
          </w:p>
        </w:tc>
        <w:tc>
          <w:tcPr>
            <w:tcW w:w="544"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2856"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（2）参与各社团的学生人数</w:t>
            </w:r>
          </w:p>
        </w:tc>
        <w:tc>
          <w:tcPr>
            <w:tcW w:w="7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3184</w:t>
            </w:r>
          </w:p>
        </w:tc>
        <w:tc>
          <w:tcPr>
            <w:tcW w:w="10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5180</w:t>
            </w:r>
          </w:p>
        </w:tc>
        <w:tc>
          <w:tcPr>
            <w:tcW w:w="7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r>
    </w:tbl>
    <w:p>
      <w:pPr>
        <w:spacing w:line="240" w:lineRule="auto"/>
        <w:ind w:left="0" w:leftChars="0" w:firstLine="0" w:firstLineChars="0"/>
        <w:rPr>
          <w:rFonts w:hint="default" w:ascii="Times New Roman" w:hAnsi="Times New Roman" w:eastAsia="宋体" w:cs="Times New Roman"/>
          <w:b/>
          <w:sz w:val="28"/>
          <w:szCs w:val="28"/>
        </w:rPr>
      </w:pPr>
    </w:p>
    <w:p>
      <w:pPr>
        <w:pStyle w:val="4"/>
        <w:bidi w:val="0"/>
        <w:jc w:val="center"/>
        <w:rPr>
          <w:rFonts w:hint="default" w:ascii="Times New Roman" w:hAnsi="Times New Roman" w:eastAsia="楷体" w:cs="Times New Roman"/>
          <w:b/>
          <w:szCs w:val="28"/>
        </w:rPr>
      </w:pPr>
      <w:bookmarkStart w:id="160" w:name="_Toc30133"/>
      <w:r>
        <w:rPr>
          <w:rFonts w:hint="default" w:ascii="Times New Roman" w:hAnsi="Times New Roman" w:eastAsia="楷体" w:cs="Times New Roman"/>
        </w:rPr>
        <w:t>表3 教学资源表</w:t>
      </w:r>
      <w:bookmarkEnd w:id="160"/>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825"/>
        <w:gridCol w:w="1125"/>
        <w:gridCol w:w="1462"/>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38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指标</w:t>
            </w:r>
          </w:p>
        </w:tc>
        <w:tc>
          <w:tcPr>
            <w:tcW w:w="1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w:t>
            </w:r>
          </w:p>
        </w:tc>
        <w:tc>
          <w:tcPr>
            <w:tcW w:w="14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2020年</w:t>
            </w:r>
          </w:p>
        </w:tc>
        <w:tc>
          <w:tcPr>
            <w:tcW w:w="14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38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生师比</w:t>
            </w:r>
          </w:p>
        </w:tc>
        <w:tc>
          <w:tcPr>
            <w:tcW w:w="1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4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17.94</w:t>
            </w:r>
          </w:p>
        </w:tc>
        <w:tc>
          <w:tcPr>
            <w:tcW w:w="14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38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双师素质专任教师比例</w:t>
            </w:r>
          </w:p>
        </w:tc>
        <w:tc>
          <w:tcPr>
            <w:tcW w:w="1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4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51.26</w:t>
            </w:r>
          </w:p>
        </w:tc>
        <w:tc>
          <w:tcPr>
            <w:tcW w:w="14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38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高级专业技术职务专任教师比例</w:t>
            </w:r>
          </w:p>
        </w:tc>
        <w:tc>
          <w:tcPr>
            <w:tcW w:w="1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4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32.15</w:t>
            </w:r>
          </w:p>
        </w:tc>
        <w:tc>
          <w:tcPr>
            <w:tcW w:w="14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38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教学计划内课程总数</w:t>
            </w:r>
          </w:p>
        </w:tc>
        <w:tc>
          <w:tcPr>
            <w:tcW w:w="1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门</w:t>
            </w:r>
          </w:p>
        </w:tc>
        <w:tc>
          <w:tcPr>
            <w:tcW w:w="14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1280</w:t>
            </w:r>
          </w:p>
        </w:tc>
        <w:tc>
          <w:tcPr>
            <w:tcW w:w="14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38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其中：线上开设课程数</w:t>
            </w:r>
          </w:p>
        </w:tc>
        <w:tc>
          <w:tcPr>
            <w:tcW w:w="1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门</w:t>
            </w:r>
          </w:p>
        </w:tc>
        <w:tc>
          <w:tcPr>
            <w:tcW w:w="14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385</w:t>
            </w:r>
          </w:p>
        </w:tc>
        <w:tc>
          <w:tcPr>
            <w:tcW w:w="14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tc>
        <w:tc>
          <w:tcPr>
            <w:tcW w:w="38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线上课程课均学生数</w:t>
            </w:r>
          </w:p>
        </w:tc>
        <w:tc>
          <w:tcPr>
            <w:tcW w:w="1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人</w:t>
            </w:r>
          </w:p>
        </w:tc>
        <w:tc>
          <w:tcPr>
            <w:tcW w:w="14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50</w:t>
            </w:r>
          </w:p>
        </w:tc>
        <w:tc>
          <w:tcPr>
            <w:tcW w:w="14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38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校园网主干最大带宽</w:t>
            </w:r>
          </w:p>
        </w:tc>
        <w:tc>
          <w:tcPr>
            <w:tcW w:w="1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Mbps</w:t>
            </w:r>
          </w:p>
        </w:tc>
        <w:tc>
          <w:tcPr>
            <w:tcW w:w="14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10000</w:t>
            </w:r>
          </w:p>
        </w:tc>
        <w:tc>
          <w:tcPr>
            <w:tcW w:w="14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38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校园网出口带宽</w:t>
            </w:r>
          </w:p>
        </w:tc>
        <w:tc>
          <w:tcPr>
            <w:tcW w:w="1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Mbps</w:t>
            </w:r>
          </w:p>
        </w:tc>
        <w:tc>
          <w:tcPr>
            <w:tcW w:w="14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1500</w:t>
            </w:r>
          </w:p>
        </w:tc>
        <w:tc>
          <w:tcPr>
            <w:tcW w:w="14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38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生均校内实践教学工位数</w:t>
            </w:r>
          </w:p>
        </w:tc>
        <w:tc>
          <w:tcPr>
            <w:tcW w:w="1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个/生</w:t>
            </w:r>
          </w:p>
        </w:tc>
        <w:tc>
          <w:tcPr>
            <w:tcW w:w="14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0.41</w:t>
            </w:r>
          </w:p>
        </w:tc>
        <w:tc>
          <w:tcPr>
            <w:tcW w:w="14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38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生均教学科研仪器设备值</w:t>
            </w:r>
          </w:p>
        </w:tc>
        <w:tc>
          <w:tcPr>
            <w:tcW w:w="11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元/生</w:t>
            </w:r>
          </w:p>
        </w:tc>
        <w:tc>
          <w:tcPr>
            <w:tcW w:w="14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9465.44</w:t>
            </w:r>
          </w:p>
        </w:tc>
        <w:tc>
          <w:tcPr>
            <w:tcW w:w="14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9483.67</w:t>
            </w:r>
          </w:p>
        </w:tc>
      </w:tr>
    </w:tbl>
    <w:p>
      <w:pPr>
        <w:ind w:left="0" w:leftChars="0" w:firstLine="0" w:firstLineChars="0"/>
        <w:rPr>
          <w:rFonts w:hint="default"/>
          <w:b/>
          <w:sz w:val="28"/>
          <w:szCs w:val="28"/>
        </w:rPr>
      </w:pPr>
    </w:p>
    <w:p>
      <w:pPr>
        <w:pStyle w:val="4"/>
        <w:bidi w:val="0"/>
        <w:jc w:val="center"/>
        <w:rPr>
          <w:rFonts w:hint="default" w:ascii="Times New Roman" w:hAnsi="Times New Roman" w:eastAsia="楷体" w:cs="Times New Roman"/>
        </w:rPr>
      </w:pPr>
      <w:bookmarkStart w:id="161" w:name="_Toc22885"/>
      <w:r>
        <w:rPr>
          <w:rFonts w:hint="default" w:ascii="Times New Roman" w:hAnsi="Times New Roman" w:eastAsia="楷体" w:cs="Times New Roman"/>
        </w:rPr>
        <w:t>表4 国际影响表</w:t>
      </w:r>
      <w:bookmarkEnd w:id="161"/>
    </w:p>
    <w:tbl>
      <w:tblPr>
        <w:tblStyle w:val="12"/>
        <w:tblW w:w="9429" w:type="dxa"/>
        <w:jc w:val="center"/>
        <w:tblLayout w:type="fixed"/>
        <w:tblCellMar>
          <w:top w:w="0" w:type="dxa"/>
          <w:left w:w="108" w:type="dxa"/>
          <w:bottom w:w="0" w:type="dxa"/>
          <w:right w:w="108" w:type="dxa"/>
        </w:tblCellMar>
      </w:tblPr>
      <w:tblGrid>
        <w:gridCol w:w="816"/>
        <w:gridCol w:w="820"/>
        <w:gridCol w:w="476"/>
        <w:gridCol w:w="2235"/>
        <w:gridCol w:w="938"/>
        <w:gridCol w:w="1012"/>
        <w:gridCol w:w="1038"/>
        <w:gridCol w:w="2094"/>
      </w:tblGrid>
      <w:tr>
        <w:tblPrEx>
          <w:tblCellMar>
            <w:top w:w="0" w:type="dxa"/>
            <w:left w:w="108" w:type="dxa"/>
            <w:bottom w:w="0" w:type="dxa"/>
            <w:right w:w="108" w:type="dxa"/>
          </w:tblCellMar>
        </w:tblPrEx>
        <w:trPr>
          <w:trHeight w:val="570"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院校代码</w:t>
            </w:r>
          </w:p>
        </w:tc>
        <w:tc>
          <w:tcPr>
            <w:tcW w:w="82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院校名称</w:t>
            </w:r>
          </w:p>
        </w:tc>
        <w:tc>
          <w:tcPr>
            <w:tcW w:w="271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指标</w:t>
            </w:r>
          </w:p>
        </w:tc>
        <w:tc>
          <w:tcPr>
            <w:tcW w:w="93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单位</w:t>
            </w:r>
          </w:p>
        </w:tc>
        <w:tc>
          <w:tcPr>
            <w:tcW w:w="1012"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2020年</w:t>
            </w:r>
          </w:p>
        </w:tc>
        <w:tc>
          <w:tcPr>
            <w:tcW w:w="1038"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2021年</w:t>
            </w:r>
          </w:p>
        </w:tc>
        <w:tc>
          <w:tcPr>
            <w:tcW w:w="209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备注</w:t>
            </w:r>
          </w:p>
        </w:tc>
      </w:tr>
      <w:tr>
        <w:tblPrEx>
          <w:tblCellMar>
            <w:top w:w="0" w:type="dxa"/>
            <w:left w:w="108" w:type="dxa"/>
            <w:bottom w:w="0" w:type="dxa"/>
            <w:right w:w="108" w:type="dxa"/>
          </w:tblCellMar>
        </w:tblPrEx>
        <w:trPr>
          <w:trHeight w:val="919" w:hRule="atLeast"/>
          <w:jc w:val="center"/>
        </w:trPr>
        <w:tc>
          <w:tcPr>
            <w:tcW w:w="816"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13138</w:t>
            </w:r>
            <w:r>
              <w:rPr>
                <w:rFonts w:hint="default" w:ascii="Times New Roman" w:hAnsi="Times New Roman" w:eastAsia="宋体" w:cs="Times New Roman"/>
                <w:color w:val="000000"/>
                <w:sz w:val="24"/>
                <w:szCs w:val="24"/>
              </w:rPr>
              <w:t>　</w:t>
            </w:r>
          </w:p>
        </w:tc>
        <w:tc>
          <w:tcPr>
            <w:tcW w:w="820"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院</w:t>
            </w:r>
            <w:r>
              <w:rPr>
                <w:rFonts w:hint="default" w:ascii="Times New Roman" w:hAnsi="Times New Roman" w:eastAsia="宋体" w:cs="Times New Roman"/>
                <w:color w:val="000000"/>
                <w:sz w:val="24"/>
                <w:szCs w:val="24"/>
              </w:rPr>
              <w:t>　</w:t>
            </w:r>
          </w:p>
        </w:tc>
        <w:tc>
          <w:tcPr>
            <w:tcW w:w="476"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p>
        </w:tc>
        <w:tc>
          <w:tcPr>
            <w:tcW w:w="2235"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全日制国（境）外留学生人数（一年以上）</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人</w:t>
            </w:r>
          </w:p>
        </w:tc>
        <w:tc>
          <w:tcPr>
            <w:tcW w:w="101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w:t>
            </w:r>
          </w:p>
        </w:tc>
        <w:tc>
          <w:tcPr>
            <w:tcW w:w="10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w:t>
            </w:r>
          </w:p>
        </w:tc>
        <w:tc>
          <w:tcPr>
            <w:tcW w:w="209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r>
      <w:tr>
        <w:tblPrEx>
          <w:tblCellMar>
            <w:top w:w="0" w:type="dxa"/>
            <w:left w:w="108" w:type="dxa"/>
            <w:bottom w:w="0" w:type="dxa"/>
            <w:right w:w="108" w:type="dxa"/>
          </w:tblCellMar>
        </w:tblPrEx>
        <w:trPr>
          <w:trHeight w:val="480"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p>
        </w:tc>
        <w:tc>
          <w:tcPr>
            <w:tcW w:w="820"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p>
        </w:tc>
        <w:tc>
          <w:tcPr>
            <w:tcW w:w="476"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w:t>
            </w:r>
          </w:p>
        </w:tc>
        <w:tc>
          <w:tcPr>
            <w:tcW w:w="2235"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非全日制国（境）外人员培训量</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人日</w:t>
            </w:r>
          </w:p>
        </w:tc>
        <w:tc>
          <w:tcPr>
            <w:tcW w:w="101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w:t>
            </w:r>
          </w:p>
        </w:tc>
        <w:tc>
          <w:tcPr>
            <w:tcW w:w="10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w:t>
            </w:r>
          </w:p>
        </w:tc>
        <w:tc>
          <w:tcPr>
            <w:tcW w:w="209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r>
      <w:tr>
        <w:tblPrEx>
          <w:tblCellMar>
            <w:top w:w="0" w:type="dxa"/>
            <w:left w:w="108" w:type="dxa"/>
            <w:bottom w:w="0" w:type="dxa"/>
            <w:right w:w="108" w:type="dxa"/>
          </w:tblCellMar>
        </w:tblPrEx>
        <w:trPr>
          <w:trHeight w:val="600"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p>
        </w:tc>
        <w:tc>
          <w:tcPr>
            <w:tcW w:w="820"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p>
        </w:tc>
        <w:tc>
          <w:tcPr>
            <w:tcW w:w="476"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w:t>
            </w:r>
          </w:p>
        </w:tc>
        <w:tc>
          <w:tcPr>
            <w:tcW w:w="2235"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在校生服务“走出去”企业国（境）外实习时间</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人日</w:t>
            </w:r>
          </w:p>
        </w:tc>
        <w:tc>
          <w:tcPr>
            <w:tcW w:w="101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w:t>
            </w:r>
          </w:p>
        </w:tc>
        <w:tc>
          <w:tcPr>
            <w:tcW w:w="10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w:t>
            </w:r>
          </w:p>
        </w:tc>
        <w:tc>
          <w:tcPr>
            <w:tcW w:w="209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r>
      <w:tr>
        <w:tblPrEx>
          <w:tblCellMar>
            <w:top w:w="0" w:type="dxa"/>
            <w:left w:w="108" w:type="dxa"/>
            <w:bottom w:w="0" w:type="dxa"/>
            <w:right w:w="108" w:type="dxa"/>
          </w:tblCellMar>
        </w:tblPrEx>
        <w:trPr>
          <w:trHeight w:val="799"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p>
        </w:tc>
        <w:tc>
          <w:tcPr>
            <w:tcW w:w="820"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p>
        </w:tc>
        <w:tc>
          <w:tcPr>
            <w:tcW w:w="476"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w:t>
            </w:r>
          </w:p>
        </w:tc>
        <w:tc>
          <w:tcPr>
            <w:tcW w:w="2235"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专任教师赴国（境）外指导和开展培训时间</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人日</w:t>
            </w:r>
          </w:p>
        </w:tc>
        <w:tc>
          <w:tcPr>
            <w:tcW w:w="101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w:t>
            </w:r>
          </w:p>
        </w:tc>
        <w:tc>
          <w:tcPr>
            <w:tcW w:w="10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w:t>
            </w:r>
          </w:p>
        </w:tc>
        <w:tc>
          <w:tcPr>
            <w:tcW w:w="209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w:t>
            </w:r>
          </w:p>
        </w:tc>
      </w:tr>
      <w:tr>
        <w:tblPrEx>
          <w:tblCellMar>
            <w:top w:w="0" w:type="dxa"/>
            <w:left w:w="108" w:type="dxa"/>
            <w:bottom w:w="0" w:type="dxa"/>
            <w:right w:w="108" w:type="dxa"/>
          </w:tblCellMar>
        </w:tblPrEx>
        <w:trPr>
          <w:trHeight w:val="1560"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p>
        </w:tc>
        <w:tc>
          <w:tcPr>
            <w:tcW w:w="820"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p>
        </w:tc>
        <w:tc>
          <w:tcPr>
            <w:tcW w:w="476"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w:t>
            </w:r>
          </w:p>
        </w:tc>
        <w:tc>
          <w:tcPr>
            <w:tcW w:w="2235"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在国（境）外组织担任职务的专任教师人数</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人</w:t>
            </w:r>
          </w:p>
        </w:tc>
        <w:tc>
          <w:tcPr>
            <w:tcW w:w="101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w:t>
            </w:r>
          </w:p>
        </w:tc>
        <w:tc>
          <w:tcPr>
            <w:tcW w:w="10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p>
        </w:tc>
        <w:tc>
          <w:tcPr>
            <w:tcW w:w="209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姚琦在英国国家学历学位认证评估中心，担任学历学位认证评估专家。   </w:t>
            </w:r>
          </w:p>
        </w:tc>
      </w:tr>
      <w:tr>
        <w:tblPrEx>
          <w:tblCellMar>
            <w:top w:w="0" w:type="dxa"/>
            <w:left w:w="108" w:type="dxa"/>
            <w:bottom w:w="0" w:type="dxa"/>
            <w:right w:w="108" w:type="dxa"/>
          </w:tblCellMar>
        </w:tblPrEx>
        <w:trPr>
          <w:trHeight w:val="1020"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p>
        </w:tc>
        <w:tc>
          <w:tcPr>
            <w:tcW w:w="820"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p>
        </w:tc>
        <w:tc>
          <w:tcPr>
            <w:tcW w:w="476"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w:t>
            </w:r>
          </w:p>
        </w:tc>
        <w:tc>
          <w:tcPr>
            <w:tcW w:w="2235"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开发并被国（境）外采用的专业教学标准数</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个</w:t>
            </w:r>
          </w:p>
        </w:tc>
        <w:tc>
          <w:tcPr>
            <w:tcW w:w="101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w:t>
            </w:r>
          </w:p>
        </w:tc>
        <w:tc>
          <w:tcPr>
            <w:tcW w:w="10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w:t>
            </w:r>
          </w:p>
        </w:tc>
        <w:tc>
          <w:tcPr>
            <w:tcW w:w="209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CellMar>
            <w:top w:w="0" w:type="dxa"/>
            <w:left w:w="108" w:type="dxa"/>
            <w:bottom w:w="0" w:type="dxa"/>
            <w:right w:w="108" w:type="dxa"/>
          </w:tblCellMar>
        </w:tblPrEx>
        <w:trPr>
          <w:trHeight w:val="1020"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p>
        </w:tc>
        <w:tc>
          <w:tcPr>
            <w:tcW w:w="820"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p>
        </w:tc>
        <w:tc>
          <w:tcPr>
            <w:tcW w:w="476"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p>
        </w:tc>
        <w:tc>
          <w:tcPr>
            <w:tcW w:w="2235"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开发并被国（境）外采用的课程标准数</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个</w:t>
            </w:r>
          </w:p>
        </w:tc>
        <w:tc>
          <w:tcPr>
            <w:tcW w:w="101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w:t>
            </w:r>
          </w:p>
        </w:tc>
        <w:tc>
          <w:tcPr>
            <w:tcW w:w="10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w:t>
            </w:r>
          </w:p>
        </w:tc>
        <w:tc>
          <w:tcPr>
            <w:tcW w:w="209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w:t>
            </w:r>
          </w:p>
        </w:tc>
      </w:tr>
      <w:tr>
        <w:tblPrEx>
          <w:tblCellMar>
            <w:top w:w="0" w:type="dxa"/>
            <w:left w:w="108" w:type="dxa"/>
            <w:bottom w:w="0" w:type="dxa"/>
            <w:right w:w="108" w:type="dxa"/>
          </w:tblCellMar>
        </w:tblPrEx>
        <w:trPr>
          <w:trHeight w:val="1279"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p>
        </w:tc>
        <w:tc>
          <w:tcPr>
            <w:tcW w:w="820"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p>
        </w:tc>
        <w:tc>
          <w:tcPr>
            <w:tcW w:w="476"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w:t>
            </w:r>
          </w:p>
        </w:tc>
        <w:tc>
          <w:tcPr>
            <w:tcW w:w="2235"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国（境）外技能大赛获奖数量</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w:t>
            </w:r>
          </w:p>
        </w:tc>
        <w:tc>
          <w:tcPr>
            <w:tcW w:w="101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w:t>
            </w:r>
          </w:p>
        </w:tc>
        <w:tc>
          <w:tcPr>
            <w:tcW w:w="10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p>
        </w:tc>
        <w:tc>
          <w:tcPr>
            <w:tcW w:w="209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第六届国际BIM大奖赛最佳BIM院校应用大奖。</w:t>
            </w:r>
          </w:p>
        </w:tc>
      </w:tr>
      <w:tr>
        <w:tblPrEx>
          <w:tblCellMar>
            <w:top w:w="0" w:type="dxa"/>
            <w:left w:w="108" w:type="dxa"/>
            <w:bottom w:w="0" w:type="dxa"/>
            <w:right w:w="108" w:type="dxa"/>
          </w:tblCellMar>
        </w:tblPrEx>
        <w:trPr>
          <w:trHeight w:val="1219" w:hRule="atLeast"/>
          <w:jc w:val="center"/>
        </w:trPr>
        <w:tc>
          <w:tcPr>
            <w:tcW w:w="816"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p>
        </w:tc>
        <w:tc>
          <w:tcPr>
            <w:tcW w:w="820"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p>
        </w:tc>
        <w:tc>
          <w:tcPr>
            <w:tcW w:w="476"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8</w:t>
            </w:r>
          </w:p>
        </w:tc>
        <w:tc>
          <w:tcPr>
            <w:tcW w:w="2235"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国际合作科研平台数</w:t>
            </w:r>
          </w:p>
        </w:tc>
        <w:tc>
          <w:tcPr>
            <w:tcW w:w="9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个</w:t>
            </w:r>
          </w:p>
        </w:tc>
        <w:tc>
          <w:tcPr>
            <w:tcW w:w="1012"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0</w:t>
            </w:r>
          </w:p>
        </w:tc>
        <w:tc>
          <w:tcPr>
            <w:tcW w:w="1038" w:type="dxa"/>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p>
        </w:tc>
        <w:tc>
          <w:tcPr>
            <w:tcW w:w="2094"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中国—东盟建筑职业教育研究院，2021.9。</w:t>
            </w:r>
          </w:p>
        </w:tc>
      </w:tr>
    </w:tbl>
    <w:p>
      <w:pPr>
        <w:pStyle w:val="4"/>
        <w:bidi w:val="0"/>
        <w:ind w:left="0" w:leftChars="0" w:firstLine="0" w:firstLineChars="0"/>
        <w:jc w:val="both"/>
        <w:rPr>
          <w:rFonts w:hint="default" w:ascii="Times New Roman" w:hAnsi="Times New Roman" w:eastAsia="楷体" w:cs="Times New Roman"/>
          <w:lang w:eastAsia="zh-CN"/>
        </w:rPr>
      </w:pPr>
      <w:bookmarkStart w:id="162" w:name="_Toc18032"/>
    </w:p>
    <w:p>
      <w:pPr>
        <w:pStyle w:val="4"/>
        <w:bidi w:val="0"/>
        <w:jc w:val="center"/>
        <w:rPr>
          <w:rFonts w:hint="default" w:ascii="Times New Roman" w:hAnsi="Times New Roman"/>
        </w:rPr>
      </w:pPr>
      <w:r>
        <w:rPr>
          <w:rFonts w:hint="default" w:ascii="Times New Roman" w:hAnsi="Times New Roman" w:eastAsia="楷体" w:cs="Times New Roman"/>
        </w:rPr>
        <w:t>表5 服务贡献表</w:t>
      </w:r>
      <w:bookmarkEnd w:id="162"/>
    </w:p>
    <w:tbl>
      <w:tblPr>
        <w:tblStyle w:val="12"/>
        <w:tblW w:w="9000" w:type="dxa"/>
        <w:tblInd w:w="-370" w:type="dxa"/>
        <w:tblLayout w:type="fixed"/>
        <w:tblCellMar>
          <w:top w:w="0" w:type="dxa"/>
          <w:left w:w="108" w:type="dxa"/>
          <w:bottom w:w="0" w:type="dxa"/>
          <w:right w:w="108" w:type="dxa"/>
        </w:tblCellMar>
      </w:tblPr>
      <w:tblGrid>
        <w:gridCol w:w="826"/>
        <w:gridCol w:w="825"/>
        <w:gridCol w:w="361"/>
        <w:gridCol w:w="2876"/>
        <w:gridCol w:w="738"/>
        <w:gridCol w:w="1475"/>
        <w:gridCol w:w="1199"/>
        <w:gridCol w:w="700"/>
      </w:tblGrid>
      <w:tr>
        <w:tblPrEx>
          <w:tblCellMar>
            <w:top w:w="0" w:type="dxa"/>
            <w:left w:w="108" w:type="dxa"/>
            <w:bottom w:w="0" w:type="dxa"/>
            <w:right w:w="108" w:type="dxa"/>
          </w:tblCellMar>
        </w:tblPrEx>
        <w:trPr>
          <w:trHeight w:val="570" w:hRule="atLeast"/>
        </w:trPr>
        <w:tc>
          <w:tcPr>
            <w:tcW w:w="8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院校代码</w:t>
            </w:r>
          </w:p>
        </w:tc>
        <w:tc>
          <w:tcPr>
            <w:tcW w:w="825"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院校名称</w:t>
            </w:r>
          </w:p>
        </w:tc>
        <w:tc>
          <w:tcPr>
            <w:tcW w:w="3237"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指标</w:t>
            </w:r>
          </w:p>
        </w:tc>
        <w:tc>
          <w:tcPr>
            <w:tcW w:w="738"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单位</w:t>
            </w:r>
          </w:p>
        </w:tc>
        <w:tc>
          <w:tcPr>
            <w:tcW w:w="1475"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2020年</w:t>
            </w:r>
          </w:p>
        </w:tc>
        <w:tc>
          <w:tcPr>
            <w:tcW w:w="1199"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2021年</w:t>
            </w:r>
          </w:p>
        </w:tc>
        <w:tc>
          <w:tcPr>
            <w:tcW w:w="700"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备注</w:t>
            </w:r>
          </w:p>
        </w:tc>
      </w:tr>
      <w:tr>
        <w:tblPrEx>
          <w:tblCellMar>
            <w:top w:w="0" w:type="dxa"/>
            <w:left w:w="108" w:type="dxa"/>
            <w:bottom w:w="0" w:type="dxa"/>
            <w:right w:w="108" w:type="dxa"/>
          </w:tblCellMar>
        </w:tblPrEx>
        <w:trPr>
          <w:trHeight w:val="582" w:hRule="atLeast"/>
        </w:trPr>
        <w:tc>
          <w:tcPr>
            <w:tcW w:w="826"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p>
            <w:pPr>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kern w:val="0"/>
                <w:sz w:val="24"/>
                <w:szCs w:val="24"/>
              </w:rPr>
            </w:pPr>
          </w:p>
          <w:p>
            <w:pPr>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kern w:val="0"/>
                <w:sz w:val="24"/>
                <w:szCs w:val="24"/>
              </w:rPr>
            </w:pPr>
          </w:p>
          <w:p>
            <w:pPr>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kern w:val="0"/>
                <w:sz w:val="24"/>
                <w:szCs w:val="24"/>
              </w:rPr>
            </w:pPr>
          </w:p>
          <w:p>
            <w:pPr>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z w:val="24"/>
                <w:szCs w:val="24"/>
              </w:rPr>
              <w:t>13138</w:t>
            </w:r>
          </w:p>
        </w:tc>
        <w:tc>
          <w:tcPr>
            <w:tcW w:w="825"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w:t>
            </w:r>
          </w:p>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z w:val="24"/>
                <w:szCs w:val="24"/>
              </w:rPr>
              <w:t>院</w:t>
            </w:r>
          </w:p>
        </w:tc>
        <w:tc>
          <w:tcPr>
            <w:tcW w:w="361"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w:t>
            </w: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全日制在校生人数</w:t>
            </w:r>
          </w:p>
        </w:tc>
        <w:tc>
          <w:tcPr>
            <w:tcW w:w="73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人</w:t>
            </w:r>
          </w:p>
        </w:tc>
        <w:tc>
          <w:tcPr>
            <w:tcW w:w="147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lang w:val="en-US" w:eastAsia="zh-CN"/>
              </w:rPr>
            </w:pPr>
            <w:r>
              <w:rPr>
                <w:rFonts w:hint="eastAsia" w:eastAsia="宋体" w:cs="Times New Roman"/>
                <w:color w:val="000000"/>
                <w:kern w:val="0"/>
                <w:sz w:val="24"/>
                <w:szCs w:val="24"/>
                <w:lang w:val="en-US" w:eastAsia="zh-CN"/>
              </w:rPr>
              <w:t>17689</w:t>
            </w:r>
          </w:p>
        </w:tc>
        <w:tc>
          <w:tcPr>
            <w:tcW w:w="119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lang w:val="en-US" w:eastAsia="zh-CN"/>
              </w:rPr>
            </w:pPr>
            <w:r>
              <w:rPr>
                <w:rFonts w:hint="eastAsia" w:eastAsia="宋体" w:cs="Times New Roman"/>
                <w:color w:val="000000"/>
                <w:kern w:val="0"/>
                <w:sz w:val="24"/>
                <w:szCs w:val="24"/>
                <w:lang w:val="en-US" w:eastAsia="zh-CN"/>
              </w:rPr>
              <w:t>20466</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660"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毕业生人数</w:t>
            </w:r>
          </w:p>
        </w:tc>
        <w:tc>
          <w:tcPr>
            <w:tcW w:w="738"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人</w:t>
            </w:r>
          </w:p>
        </w:tc>
        <w:tc>
          <w:tcPr>
            <w:tcW w:w="147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5106</w:t>
            </w:r>
          </w:p>
        </w:tc>
        <w:tc>
          <w:tcPr>
            <w:tcW w:w="119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4988</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600"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240" w:firstLineChars="10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其中：就业人数</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人</w:t>
            </w:r>
          </w:p>
        </w:tc>
        <w:tc>
          <w:tcPr>
            <w:tcW w:w="147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4870</w:t>
            </w:r>
          </w:p>
        </w:tc>
        <w:tc>
          <w:tcPr>
            <w:tcW w:w="119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4508</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559"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毕业生就业去向：</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t>
            </w:r>
          </w:p>
        </w:tc>
        <w:tc>
          <w:tcPr>
            <w:tcW w:w="147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t>
            </w:r>
          </w:p>
        </w:tc>
        <w:tc>
          <w:tcPr>
            <w:tcW w:w="119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822"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240" w:firstLineChars="10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A类</w:t>
            </w:r>
            <w:r>
              <w:rPr>
                <w:rFonts w:hint="default" w:ascii="Times New Roman" w:hAnsi="Times New Roman" w:eastAsia="宋体" w:cs="Times New Roman"/>
                <w:color w:val="000000"/>
                <w:kern w:val="0"/>
                <w:sz w:val="24"/>
                <w:szCs w:val="24"/>
                <w:lang w:eastAsia="zh-CN"/>
              </w:rPr>
              <w:t>：</w:t>
            </w:r>
            <w:r>
              <w:rPr>
                <w:rFonts w:hint="default" w:ascii="Times New Roman" w:hAnsi="Times New Roman" w:eastAsia="宋体" w:cs="Times New Roman"/>
                <w:color w:val="000000"/>
                <w:kern w:val="0"/>
                <w:sz w:val="24"/>
                <w:szCs w:val="24"/>
              </w:rPr>
              <w:t>留在当地就业人数</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人</w:t>
            </w:r>
          </w:p>
        </w:tc>
        <w:tc>
          <w:tcPr>
            <w:tcW w:w="147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3164</w:t>
            </w:r>
          </w:p>
        </w:tc>
        <w:tc>
          <w:tcPr>
            <w:tcW w:w="119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2333</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702"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240" w:firstLineChars="10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B类</w:t>
            </w:r>
            <w:r>
              <w:rPr>
                <w:rFonts w:hint="default" w:ascii="Times New Roman" w:hAnsi="Times New Roman" w:eastAsia="宋体" w:cs="Times New Roman"/>
                <w:color w:val="000000"/>
                <w:kern w:val="0"/>
                <w:sz w:val="24"/>
                <w:szCs w:val="24"/>
                <w:lang w:eastAsia="zh-CN"/>
              </w:rPr>
              <w:t>：</w:t>
            </w:r>
            <w:r>
              <w:rPr>
                <w:rFonts w:hint="default" w:ascii="Times New Roman" w:hAnsi="Times New Roman" w:eastAsia="宋体" w:cs="Times New Roman"/>
                <w:color w:val="000000"/>
                <w:kern w:val="0"/>
                <w:sz w:val="24"/>
                <w:szCs w:val="24"/>
              </w:rPr>
              <w:t>到西部地区和东北地区就业人数</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人</w:t>
            </w:r>
          </w:p>
        </w:tc>
        <w:tc>
          <w:tcPr>
            <w:tcW w:w="147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3187</w:t>
            </w:r>
          </w:p>
        </w:tc>
        <w:tc>
          <w:tcPr>
            <w:tcW w:w="119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2383</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720"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240" w:firstLineChars="10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C类</w:t>
            </w:r>
            <w:r>
              <w:rPr>
                <w:rFonts w:hint="default" w:ascii="Times New Roman" w:hAnsi="Times New Roman" w:eastAsia="宋体" w:cs="Times New Roman"/>
                <w:color w:val="000000"/>
                <w:kern w:val="0"/>
                <w:sz w:val="24"/>
                <w:szCs w:val="24"/>
                <w:lang w:eastAsia="zh-CN"/>
              </w:rPr>
              <w:t>：</w:t>
            </w:r>
            <w:r>
              <w:rPr>
                <w:rFonts w:hint="default" w:ascii="Times New Roman" w:hAnsi="Times New Roman" w:eastAsia="宋体" w:cs="Times New Roman"/>
                <w:color w:val="000000"/>
                <w:kern w:val="0"/>
                <w:sz w:val="24"/>
                <w:szCs w:val="24"/>
              </w:rPr>
              <w:t>到规模以下企业等基层服务人数</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人</w:t>
            </w:r>
          </w:p>
        </w:tc>
        <w:tc>
          <w:tcPr>
            <w:tcW w:w="147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2866</w:t>
            </w:r>
          </w:p>
        </w:tc>
        <w:tc>
          <w:tcPr>
            <w:tcW w:w="119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2405</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600"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240" w:firstLineChars="10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D类</w:t>
            </w:r>
            <w:r>
              <w:rPr>
                <w:rFonts w:hint="default" w:ascii="Times New Roman" w:hAnsi="Times New Roman" w:eastAsia="宋体" w:cs="Times New Roman"/>
                <w:color w:val="000000"/>
                <w:kern w:val="0"/>
                <w:sz w:val="24"/>
                <w:szCs w:val="24"/>
                <w:lang w:eastAsia="zh-CN"/>
              </w:rPr>
              <w:t>：</w:t>
            </w:r>
            <w:r>
              <w:rPr>
                <w:rFonts w:hint="default" w:ascii="Times New Roman" w:hAnsi="Times New Roman" w:eastAsia="宋体" w:cs="Times New Roman"/>
                <w:color w:val="000000"/>
                <w:kern w:val="0"/>
                <w:sz w:val="24"/>
                <w:szCs w:val="24"/>
              </w:rPr>
              <w:t>到规模以上企业就业人数</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人</w:t>
            </w:r>
          </w:p>
        </w:tc>
        <w:tc>
          <w:tcPr>
            <w:tcW w:w="147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553</w:t>
            </w:r>
          </w:p>
        </w:tc>
        <w:tc>
          <w:tcPr>
            <w:tcW w:w="119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544</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522"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287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firstLine="240" w:firstLineChars="10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其中</w:t>
            </w:r>
            <w:r>
              <w:rPr>
                <w:rFonts w:hint="default" w:ascii="Times New Roman" w:hAnsi="Times New Roman" w:eastAsia="宋体" w:cs="Times New Roman"/>
                <w:color w:val="000000"/>
                <w:kern w:val="0"/>
                <w:sz w:val="24"/>
                <w:szCs w:val="24"/>
                <w:lang w:eastAsia="zh-CN"/>
              </w:rPr>
              <w:t>：</w:t>
            </w:r>
            <w:r>
              <w:rPr>
                <w:rFonts w:hint="default" w:ascii="Times New Roman" w:hAnsi="Times New Roman" w:eastAsia="宋体" w:cs="Times New Roman"/>
                <w:color w:val="000000"/>
                <w:kern w:val="0"/>
                <w:sz w:val="24"/>
                <w:szCs w:val="24"/>
              </w:rPr>
              <w:t>到500强企业就业人数</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人</w:t>
            </w:r>
          </w:p>
        </w:tc>
        <w:tc>
          <w:tcPr>
            <w:tcW w:w="147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553</w:t>
            </w:r>
          </w:p>
        </w:tc>
        <w:tc>
          <w:tcPr>
            <w:tcW w:w="119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544</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540"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w:t>
            </w: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横向技术服务到款额</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万元</w:t>
            </w:r>
          </w:p>
        </w:tc>
        <w:tc>
          <w:tcPr>
            <w:tcW w:w="14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15</w:t>
            </w:r>
          </w:p>
        </w:tc>
        <w:tc>
          <w:tcPr>
            <w:tcW w:w="11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15</w:t>
            </w:r>
          </w:p>
        </w:tc>
        <w:tc>
          <w:tcPr>
            <w:tcW w:w="7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531"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横向技术服务产生的经济效益</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万元</w:t>
            </w:r>
          </w:p>
        </w:tc>
        <w:tc>
          <w:tcPr>
            <w:tcW w:w="14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w:t>
            </w:r>
          </w:p>
        </w:tc>
        <w:tc>
          <w:tcPr>
            <w:tcW w:w="11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439"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w:t>
            </w: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纵向科研经费到款额</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万元</w:t>
            </w:r>
          </w:p>
        </w:tc>
        <w:tc>
          <w:tcPr>
            <w:tcW w:w="14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120.1</w:t>
            </w:r>
          </w:p>
        </w:tc>
        <w:tc>
          <w:tcPr>
            <w:tcW w:w="11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135.9</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582"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w:t>
            </w: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技术交易到款额</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万元</w:t>
            </w:r>
          </w:p>
        </w:tc>
        <w:tc>
          <w:tcPr>
            <w:tcW w:w="14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50</w:t>
            </w:r>
          </w:p>
        </w:tc>
        <w:tc>
          <w:tcPr>
            <w:tcW w:w="11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50</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FF0000"/>
                <w:kern w:val="0"/>
                <w:sz w:val="24"/>
                <w:szCs w:val="24"/>
              </w:rPr>
            </w:pPr>
            <w:r>
              <w:rPr>
                <w:rFonts w:hint="default" w:ascii="Times New Roman" w:hAnsi="Times New Roman" w:eastAsia="宋体" w:cs="Times New Roman"/>
                <w:color w:val="FF0000"/>
                <w:kern w:val="0"/>
                <w:sz w:val="24"/>
                <w:szCs w:val="24"/>
              </w:rPr>
              <w:t>　</w:t>
            </w:r>
          </w:p>
        </w:tc>
      </w:tr>
      <w:tr>
        <w:tblPrEx>
          <w:tblCellMar>
            <w:top w:w="0" w:type="dxa"/>
            <w:left w:w="108" w:type="dxa"/>
            <w:bottom w:w="0" w:type="dxa"/>
            <w:right w:w="108" w:type="dxa"/>
          </w:tblCellMar>
        </w:tblPrEx>
        <w:trPr>
          <w:trHeight w:val="480"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w:t>
            </w: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专利申请/授权数量</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项/项</w:t>
            </w:r>
          </w:p>
        </w:tc>
        <w:tc>
          <w:tcPr>
            <w:tcW w:w="14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73/57</w:t>
            </w:r>
          </w:p>
        </w:tc>
        <w:tc>
          <w:tcPr>
            <w:tcW w:w="11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78/78</w:t>
            </w:r>
          </w:p>
        </w:tc>
        <w:tc>
          <w:tcPr>
            <w:tcW w:w="700"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480"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其中：发明专利申请/授权数量</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项/项</w:t>
            </w:r>
          </w:p>
        </w:tc>
        <w:tc>
          <w:tcPr>
            <w:tcW w:w="14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1/1</w:t>
            </w:r>
          </w:p>
        </w:tc>
        <w:tc>
          <w:tcPr>
            <w:tcW w:w="11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0/0</w:t>
            </w:r>
          </w:p>
        </w:tc>
        <w:tc>
          <w:tcPr>
            <w:tcW w:w="70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r>
      <w:tr>
        <w:tblPrEx>
          <w:tblCellMar>
            <w:top w:w="0" w:type="dxa"/>
            <w:left w:w="108" w:type="dxa"/>
            <w:bottom w:w="0" w:type="dxa"/>
            <w:right w:w="108" w:type="dxa"/>
          </w:tblCellMar>
        </w:tblPrEx>
        <w:trPr>
          <w:trHeight w:val="420"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6</w:t>
            </w: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专利成果转化数量</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项</w:t>
            </w:r>
          </w:p>
        </w:tc>
        <w:tc>
          <w:tcPr>
            <w:tcW w:w="14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w:t>
            </w:r>
          </w:p>
        </w:tc>
        <w:tc>
          <w:tcPr>
            <w:tcW w:w="11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420"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7</w:t>
            </w: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专利成果转化到款额</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万元</w:t>
            </w:r>
          </w:p>
        </w:tc>
        <w:tc>
          <w:tcPr>
            <w:tcW w:w="14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w:t>
            </w:r>
          </w:p>
        </w:tc>
        <w:tc>
          <w:tcPr>
            <w:tcW w:w="11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FF0000"/>
                <w:kern w:val="0"/>
                <w:sz w:val="24"/>
                <w:szCs w:val="24"/>
              </w:rPr>
            </w:pPr>
            <w:r>
              <w:rPr>
                <w:rFonts w:hint="default" w:ascii="Times New Roman" w:hAnsi="Times New Roman" w:eastAsia="宋体" w:cs="Times New Roman"/>
                <w:color w:val="FF0000"/>
                <w:kern w:val="0"/>
                <w:sz w:val="24"/>
                <w:szCs w:val="24"/>
              </w:rPr>
              <w:t>　</w:t>
            </w:r>
          </w:p>
        </w:tc>
      </w:tr>
      <w:tr>
        <w:tblPrEx>
          <w:tblCellMar>
            <w:top w:w="0" w:type="dxa"/>
            <w:left w:w="108" w:type="dxa"/>
            <w:bottom w:w="0" w:type="dxa"/>
            <w:right w:w="108" w:type="dxa"/>
          </w:tblCellMar>
        </w:tblPrEx>
        <w:trPr>
          <w:trHeight w:val="462"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8</w:t>
            </w: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非学历培训项目数</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项</w:t>
            </w:r>
          </w:p>
        </w:tc>
        <w:tc>
          <w:tcPr>
            <w:tcW w:w="147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9</w:t>
            </w:r>
          </w:p>
        </w:tc>
        <w:tc>
          <w:tcPr>
            <w:tcW w:w="119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9</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FF0000"/>
                <w:kern w:val="0"/>
                <w:sz w:val="24"/>
                <w:szCs w:val="24"/>
              </w:rPr>
            </w:pPr>
            <w:r>
              <w:rPr>
                <w:rFonts w:hint="default" w:ascii="Times New Roman" w:hAnsi="Times New Roman" w:eastAsia="宋体" w:cs="Times New Roman"/>
                <w:color w:val="FF0000"/>
                <w:kern w:val="0"/>
                <w:sz w:val="24"/>
                <w:szCs w:val="24"/>
              </w:rPr>
              <w:t>　</w:t>
            </w:r>
          </w:p>
        </w:tc>
      </w:tr>
      <w:tr>
        <w:tblPrEx>
          <w:tblCellMar>
            <w:top w:w="0" w:type="dxa"/>
            <w:left w:w="108" w:type="dxa"/>
            <w:bottom w:w="0" w:type="dxa"/>
            <w:right w:w="108" w:type="dxa"/>
          </w:tblCellMar>
        </w:tblPrEx>
        <w:trPr>
          <w:trHeight w:val="439"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9</w:t>
            </w: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非学历培训时间</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学时</w:t>
            </w:r>
          </w:p>
        </w:tc>
        <w:tc>
          <w:tcPr>
            <w:tcW w:w="147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1405731</w:t>
            </w:r>
          </w:p>
        </w:tc>
        <w:tc>
          <w:tcPr>
            <w:tcW w:w="119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1918091</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420"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10</w:t>
            </w: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非学历培训到账经费</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万元</w:t>
            </w:r>
          </w:p>
        </w:tc>
        <w:tc>
          <w:tcPr>
            <w:tcW w:w="147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1167.763</w:t>
            </w:r>
          </w:p>
        </w:tc>
        <w:tc>
          <w:tcPr>
            <w:tcW w:w="119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1290.862</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439"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61"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11</w:t>
            </w:r>
          </w:p>
        </w:tc>
        <w:tc>
          <w:tcPr>
            <w:tcW w:w="287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公益性培训服务</w:t>
            </w:r>
          </w:p>
        </w:tc>
        <w:tc>
          <w:tcPr>
            <w:tcW w:w="73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学时</w:t>
            </w:r>
          </w:p>
        </w:tc>
        <w:tc>
          <w:tcPr>
            <w:tcW w:w="1475"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360</w:t>
            </w:r>
          </w:p>
        </w:tc>
        <w:tc>
          <w:tcPr>
            <w:tcW w:w="119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412</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642" w:hRule="atLeast"/>
        </w:trPr>
        <w:tc>
          <w:tcPr>
            <w:tcW w:w="82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6649" w:type="dxa"/>
            <w:gridSpan w:val="5"/>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主要办学经费来源（单选）：省级财政（√）   地市级财政（）  区县级财政（）  行业企业（）     其他（）</w:t>
            </w:r>
          </w:p>
        </w:tc>
        <w:tc>
          <w:tcPr>
            <w:tcW w:w="70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FF0000"/>
                <w:kern w:val="0"/>
                <w:sz w:val="24"/>
                <w:szCs w:val="24"/>
              </w:rPr>
            </w:pPr>
            <w:r>
              <w:rPr>
                <w:rFonts w:hint="default" w:ascii="Times New Roman" w:hAnsi="Times New Roman" w:eastAsia="宋体" w:cs="Times New Roman"/>
                <w:color w:val="FF0000"/>
                <w:kern w:val="0"/>
                <w:sz w:val="24"/>
                <w:szCs w:val="24"/>
              </w:rPr>
              <w:t>　</w:t>
            </w:r>
          </w:p>
        </w:tc>
      </w:tr>
    </w:tbl>
    <w:p>
      <w:pPr>
        <w:pStyle w:val="4"/>
        <w:bidi w:val="0"/>
        <w:jc w:val="center"/>
        <w:rPr>
          <w:rFonts w:hint="default" w:ascii="Times New Roman" w:hAnsi="Times New Roman" w:eastAsia="楷体" w:cs="Times New Roman"/>
        </w:rPr>
      </w:pPr>
      <w:bookmarkStart w:id="163" w:name="_Toc5291"/>
    </w:p>
    <w:p>
      <w:pPr>
        <w:pStyle w:val="4"/>
        <w:bidi w:val="0"/>
        <w:jc w:val="center"/>
        <w:rPr>
          <w:rFonts w:hint="default" w:ascii="Times New Roman" w:hAnsi="Times New Roman" w:eastAsia="楷体" w:cs="Times New Roman"/>
        </w:rPr>
      </w:pPr>
      <w:r>
        <w:rPr>
          <w:rFonts w:hint="default" w:ascii="Times New Roman" w:hAnsi="Times New Roman" w:eastAsia="楷体" w:cs="Times New Roman"/>
        </w:rPr>
        <w:t>表6 落实政策表</w:t>
      </w:r>
      <w:bookmarkEnd w:id="163"/>
    </w:p>
    <w:tbl>
      <w:tblPr>
        <w:tblStyle w:val="12"/>
        <w:tblW w:w="5000" w:type="pct"/>
        <w:tblInd w:w="0" w:type="dxa"/>
        <w:tblLayout w:type="fixed"/>
        <w:tblCellMar>
          <w:top w:w="0" w:type="dxa"/>
          <w:left w:w="108" w:type="dxa"/>
          <w:bottom w:w="0" w:type="dxa"/>
          <w:right w:w="108" w:type="dxa"/>
        </w:tblCellMar>
      </w:tblPr>
      <w:tblGrid>
        <w:gridCol w:w="931"/>
        <w:gridCol w:w="762"/>
        <w:gridCol w:w="675"/>
        <w:gridCol w:w="2850"/>
        <w:gridCol w:w="538"/>
        <w:gridCol w:w="1525"/>
        <w:gridCol w:w="1241"/>
      </w:tblGrid>
      <w:tr>
        <w:tblPrEx>
          <w:tblCellMar>
            <w:top w:w="0" w:type="dxa"/>
            <w:left w:w="108" w:type="dxa"/>
            <w:bottom w:w="0" w:type="dxa"/>
            <w:right w:w="108" w:type="dxa"/>
          </w:tblCellMar>
        </w:tblPrEx>
        <w:trPr>
          <w:trHeight w:val="822" w:hRule="atLeast"/>
        </w:trPr>
        <w:tc>
          <w:tcPr>
            <w:tcW w:w="546" w:type="pct"/>
            <w:tcBorders>
              <w:top w:val="single" w:color="auto" w:sz="4" w:space="0"/>
              <w:left w:val="single" w:color="auto" w:sz="4" w:space="0"/>
              <w:bottom w:val="nil"/>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院校代码</w:t>
            </w:r>
          </w:p>
        </w:tc>
        <w:tc>
          <w:tcPr>
            <w:tcW w:w="447" w:type="pct"/>
            <w:tcBorders>
              <w:top w:val="single" w:color="auto" w:sz="4" w:space="0"/>
              <w:left w:val="nil"/>
              <w:bottom w:val="nil"/>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院校名称</w:t>
            </w:r>
          </w:p>
        </w:tc>
        <w:tc>
          <w:tcPr>
            <w:tcW w:w="396" w:type="pct"/>
            <w:tcBorders>
              <w:top w:val="single" w:color="auto" w:sz="4" w:space="0"/>
              <w:left w:val="nil"/>
              <w:bottom w:val="nil"/>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指标</w:t>
            </w:r>
          </w:p>
        </w:tc>
        <w:tc>
          <w:tcPr>
            <w:tcW w:w="1672" w:type="pct"/>
            <w:tcBorders>
              <w:top w:val="single" w:color="auto" w:sz="4" w:space="0"/>
              <w:left w:val="nil"/>
              <w:bottom w:val="nil"/>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　</w:t>
            </w:r>
          </w:p>
        </w:tc>
        <w:tc>
          <w:tcPr>
            <w:tcW w:w="315" w:type="pct"/>
            <w:tcBorders>
              <w:top w:val="single" w:color="auto" w:sz="4" w:space="0"/>
              <w:left w:val="nil"/>
              <w:bottom w:val="nil"/>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单位</w:t>
            </w:r>
          </w:p>
        </w:tc>
        <w:tc>
          <w:tcPr>
            <w:tcW w:w="894" w:type="pct"/>
            <w:tcBorders>
              <w:top w:val="single" w:color="auto" w:sz="4" w:space="0"/>
              <w:left w:val="nil"/>
              <w:bottom w:val="nil"/>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2020年</w:t>
            </w:r>
          </w:p>
        </w:tc>
        <w:tc>
          <w:tcPr>
            <w:tcW w:w="728" w:type="pct"/>
            <w:tcBorders>
              <w:top w:val="single" w:color="auto" w:sz="4" w:space="0"/>
              <w:left w:val="nil"/>
              <w:bottom w:val="nil"/>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2021年</w:t>
            </w:r>
          </w:p>
        </w:tc>
      </w:tr>
      <w:tr>
        <w:tblPrEx>
          <w:tblCellMar>
            <w:top w:w="0" w:type="dxa"/>
            <w:left w:w="108" w:type="dxa"/>
            <w:bottom w:w="0" w:type="dxa"/>
            <w:right w:w="108" w:type="dxa"/>
          </w:tblCellMar>
        </w:tblPrEx>
        <w:trPr>
          <w:trHeight w:val="420" w:hRule="atLeast"/>
        </w:trPr>
        <w:tc>
          <w:tcPr>
            <w:tcW w:w="5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z w:val="24"/>
                <w:szCs w:val="24"/>
              </w:rPr>
              <w:t>13138</w:t>
            </w:r>
            <w:r>
              <w:rPr>
                <w:rFonts w:hint="default" w:ascii="Times New Roman" w:hAnsi="Times New Roman" w:eastAsia="宋体" w:cs="Times New Roman"/>
                <w:color w:val="000000"/>
                <w:kern w:val="0"/>
                <w:sz w:val="24"/>
                <w:szCs w:val="24"/>
              </w:rPr>
              <w:t>　</w:t>
            </w:r>
          </w:p>
        </w:tc>
        <w:tc>
          <w:tcPr>
            <w:tcW w:w="44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w:t>
            </w:r>
          </w:p>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sz w:val="24"/>
                <w:szCs w:val="24"/>
              </w:rPr>
              <w:t>院</w:t>
            </w:r>
          </w:p>
        </w:tc>
        <w:tc>
          <w:tcPr>
            <w:tcW w:w="39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w:t>
            </w:r>
          </w:p>
        </w:tc>
        <w:tc>
          <w:tcPr>
            <w:tcW w:w="1672"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年生均财政拨款水平</w:t>
            </w:r>
          </w:p>
        </w:tc>
        <w:tc>
          <w:tcPr>
            <w:tcW w:w="315"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元</w:t>
            </w:r>
          </w:p>
        </w:tc>
        <w:tc>
          <w:tcPr>
            <w:tcW w:w="894"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8003.00</w:t>
            </w:r>
          </w:p>
        </w:tc>
        <w:tc>
          <w:tcPr>
            <w:tcW w:w="728"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lang w:val="en-US" w:eastAsia="zh-CN"/>
              </w:rPr>
            </w:pPr>
            <w:r>
              <w:rPr>
                <w:rFonts w:hint="eastAsia" w:eastAsia="宋体" w:cs="Times New Roman"/>
                <w:color w:val="000000"/>
                <w:kern w:val="0"/>
                <w:sz w:val="24"/>
                <w:szCs w:val="24"/>
                <w:lang w:val="en-US" w:eastAsia="zh-CN"/>
              </w:rPr>
              <w:t>9821</w:t>
            </w:r>
          </w:p>
        </w:tc>
      </w:tr>
      <w:tr>
        <w:tblPrEx>
          <w:tblCellMar>
            <w:top w:w="0" w:type="dxa"/>
            <w:left w:w="108" w:type="dxa"/>
            <w:bottom w:w="0" w:type="dxa"/>
            <w:right w:w="108" w:type="dxa"/>
          </w:tblCellMar>
        </w:tblPrEx>
        <w:trPr>
          <w:trHeight w:val="660" w:hRule="atLeast"/>
        </w:trPr>
        <w:tc>
          <w:tcPr>
            <w:tcW w:w="54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44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9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167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240" w:firstLineChars="10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其中：年生均财政专项经费</w:t>
            </w:r>
          </w:p>
        </w:tc>
        <w:tc>
          <w:tcPr>
            <w:tcW w:w="315"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元</w:t>
            </w:r>
          </w:p>
        </w:tc>
        <w:tc>
          <w:tcPr>
            <w:tcW w:w="894"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6561.00</w:t>
            </w:r>
          </w:p>
        </w:tc>
        <w:tc>
          <w:tcPr>
            <w:tcW w:w="72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eastAsia" w:eastAsia="宋体" w:cs="Times New Roman"/>
                <w:color w:val="000000"/>
                <w:kern w:val="0"/>
                <w:sz w:val="24"/>
                <w:szCs w:val="24"/>
                <w:lang w:val="en-US" w:eastAsia="zh-CN"/>
              </w:rPr>
              <w:t>3542</w:t>
            </w:r>
            <w:r>
              <w:rPr>
                <w:rFonts w:hint="default" w:ascii="Times New Roman" w:hAnsi="Times New Roman" w:eastAsia="宋体" w:cs="Times New Roman"/>
                <w:color w:val="000000"/>
                <w:kern w:val="0"/>
                <w:sz w:val="24"/>
                <w:szCs w:val="24"/>
              </w:rPr>
              <w:t>.00</w:t>
            </w:r>
          </w:p>
        </w:tc>
      </w:tr>
      <w:tr>
        <w:tblPrEx>
          <w:tblCellMar>
            <w:top w:w="0" w:type="dxa"/>
            <w:left w:w="108" w:type="dxa"/>
            <w:bottom w:w="0" w:type="dxa"/>
            <w:right w:w="108" w:type="dxa"/>
          </w:tblCellMar>
        </w:tblPrEx>
        <w:trPr>
          <w:trHeight w:val="522" w:hRule="atLeast"/>
        </w:trPr>
        <w:tc>
          <w:tcPr>
            <w:tcW w:w="54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44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96" w:type="pct"/>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w:t>
            </w:r>
          </w:p>
        </w:tc>
        <w:tc>
          <w:tcPr>
            <w:tcW w:w="167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教职员工额定编制数</w:t>
            </w:r>
          </w:p>
        </w:tc>
        <w:tc>
          <w:tcPr>
            <w:tcW w:w="315"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人</w:t>
            </w:r>
          </w:p>
        </w:tc>
        <w:tc>
          <w:tcPr>
            <w:tcW w:w="89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375</w:t>
            </w:r>
          </w:p>
        </w:tc>
        <w:tc>
          <w:tcPr>
            <w:tcW w:w="728"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363</w:t>
            </w:r>
          </w:p>
        </w:tc>
      </w:tr>
      <w:tr>
        <w:tblPrEx>
          <w:tblCellMar>
            <w:top w:w="0" w:type="dxa"/>
            <w:left w:w="108" w:type="dxa"/>
            <w:bottom w:w="0" w:type="dxa"/>
            <w:right w:w="108" w:type="dxa"/>
          </w:tblCellMar>
        </w:tblPrEx>
        <w:trPr>
          <w:trHeight w:val="420" w:hRule="atLeast"/>
        </w:trPr>
        <w:tc>
          <w:tcPr>
            <w:tcW w:w="54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44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96" w:type="pct"/>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167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在岗教职员工总数</w:t>
            </w:r>
          </w:p>
        </w:tc>
        <w:tc>
          <w:tcPr>
            <w:tcW w:w="315"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人</w:t>
            </w:r>
          </w:p>
        </w:tc>
        <w:tc>
          <w:tcPr>
            <w:tcW w:w="89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822</w:t>
            </w:r>
          </w:p>
        </w:tc>
        <w:tc>
          <w:tcPr>
            <w:tcW w:w="728"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919</w:t>
            </w:r>
          </w:p>
        </w:tc>
      </w:tr>
      <w:tr>
        <w:tblPrEx>
          <w:tblCellMar>
            <w:top w:w="0" w:type="dxa"/>
            <w:left w:w="108" w:type="dxa"/>
            <w:bottom w:w="0" w:type="dxa"/>
            <w:right w:w="108" w:type="dxa"/>
          </w:tblCellMar>
        </w:tblPrEx>
        <w:trPr>
          <w:trHeight w:val="679" w:hRule="atLeast"/>
        </w:trPr>
        <w:tc>
          <w:tcPr>
            <w:tcW w:w="54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44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96" w:type="pct"/>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167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240" w:firstLineChars="10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其中：专任教师总数</w:t>
            </w:r>
          </w:p>
        </w:tc>
        <w:tc>
          <w:tcPr>
            <w:tcW w:w="315"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人</w:t>
            </w:r>
          </w:p>
        </w:tc>
        <w:tc>
          <w:tcPr>
            <w:tcW w:w="89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675</w:t>
            </w:r>
          </w:p>
        </w:tc>
        <w:tc>
          <w:tcPr>
            <w:tcW w:w="728"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692</w:t>
            </w:r>
          </w:p>
        </w:tc>
      </w:tr>
      <w:tr>
        <w:tblPrEx>
          <w:tblCellMar>
            <w:top w:w="0" w:type="dxa"/>
            <w:left w:w="108" w:type="dxa"/>
            <w:bottom w:w="0" w:type="dxa"/>
            <w:right w:w="108" w:type="dxa"/>
          </w:tblCellMar>
        </w:tblPrEx>
        <w:trPr>
          <w:trHeight w:val="582" w:hRule="atLeast"/>
        </w:trPr>
        <w:tc>
          <w:tcPr>
            <w:tcW w:w="54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44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96"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w:t>
            </w:r>
          </w:p>
        </w:tc>
        <w:tc>
          <w:tcPr>
            <w:tcW w:w="167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企业提供的校内实践教学设备值</w:t>
            </w:r>
          </w:p>
        </w:tc>
        <w:tc>
          <w:tcPr>
            <w:tcW w:w="315"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万元</w:t>
            </w:r>
          </w:p>
        </w:tc>
        <w:tc>
          <w:tcPr>
            <w:tcW w:w="894"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322</w:t>
            </w:r>
          </w:p>
        </w:tc>
        <w:tc>
          <w:tcPr>
            <w:tcW w:w="728"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322</w:t>
            </w:r>
          </w:p>
        </w:tc>
      </w:tr>
      <w:tr>
        <w:tblPrEx>
          <w:tblCellMar>
            <w:top w:w="0" w:type="dxa"/>
            <w:left w:w="108" w:type="dxa"/>
            <w:bottom w:w="0" w:type="dxa"/>
            <w:right w:w="108" w:type="dxa"/>
          </w:tblCellMar>
        </w:tblPrEx>
        <w:trPr>
          <w:trHeight w:val="679" w:hRule="atLeast"/>
        </w:trPr>
        <w:tc>
          <w:tcPr>
            <w:tcW w:w="54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44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96" w:type="pct"/>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w:t>
            </w:r>
          </w:p>
        </w:tc>
        <w:tc>
          <w:tcPr>
            <w:tcW w:w="167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生均企业实习经费补贴</w:t>
            </w:r>
          </w:p>
        </w:tc>
        <w:tc>
          <w:tcPr>
            <w:tcW w:w="315"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元</w:t>
            </w:r>
          </w:p>
        </w:tc>
        <w:tc>
          <w:tcPr>
            <w:tcW w:w="89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0.00</w:t>
            </w:r>
          </w:p>
        </w:tc>
        <w:tc>
          <w:tcPr>
            <w:tcW w:w="728"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0.00</w:t>
            </w:r>
          </w:p>
        </w:tc>
      </w:tr>
      <w:tr>
        <w:tblPrEx>
          <w:tblCellMar>
            <w:top w:w="0" w:type="dxa"/>
            <w:left w:w="108" w:type="dxa"/>
            <w:bottom w:w="0" w:type="dxa"/>
            <w:right w:w="108" w:type="dxa"/>
          </w:tblCellMar>
        </w:tblPrEx>
        <w:trPr>
          <w:trHeight w:val="660" w:hRule="atLeast"/>
        </w:trPr>
        <w:tc>
          <w:tcPr>
            <w:tcW w:w="54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44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96" w:type="pct"/>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167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240" w:firstLineChars="10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其中：生均财政专项补贴</w:t>
            </w:r>
          </w:p>
        </w:tc>
        <w:tc>
          <w:tcPr>
            <w:tcW w:w="315"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元</w:t>
            </w:r>
          </w:p>
        </w:tc>
        <w:tc>
          <w:tcPr>
            <w:tcW w:w="89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0.00</w:t>
            </w:r>
          </w:p>
        </w:tc>
        <w:tc>
          <w:tcPr>
            <w:tcW w:w="728"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0.00</w:t>
            </w:r>
          </w:p>
        </w:tc>
      </w:tr>
      <w:tr>
        <w:tblPrEx>
          <w:tblCellMar>
            <w:top w:w="0" w:type="dxa"/>
            <w:left w:w="108" w:type="dxa"/>
            <w:bottom w:w="0" w:type="dxa"/>
            <w:right w:w="108" w:type="dxa"/>
          </w:tblCellMar>
        </w:tblPrEx>
        <w:trPr>
          <w:trHeight w:val="702" w:hRule="atLeast"/>
        </w:trPr>
        <w:tc>
          <w:tcPr>
            <w:tcW w:w="54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44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96" w:type="pct"/>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w:t>
            </w:r>
          </w:p>
        </w:tc>
        <w:tc>
          <w:tcPr>
            <w:tcW w:w="167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生均企业实习责任保险补贴</w:t>
            </w:r>
          </w:p>
        </w:tc>
        <w:tc>
          <w:tcPr>
            <w:tcW w:w="315"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元</w:t>
            </w:r>
          </w:p>
        </w:tc>
        <w:tc>
          <w:tcPr>
            <w:tcW w:w="89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46.80</w:t>
            </w:r>
          </w:p>
        </w:tc>
        <w:tc>
          <w:tcPr>
            <w:tcW w:w="728"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46.80</w:t>
            </w:r>
          </w:p>
        </w:tc>
      </w:tr>
      <w:tr>
        <w:tblPrEx>
          <w:tblCellMar>
            <w:top w:w="0" w:type="dxa"/>
            <w:left w:w="108" w:type="dxa"/>
            <w:bottom w:w="0" w:type="dxa"/>
            <w:right w:w="108" w:type="dxa"/>
          </w:tblCellMar>
        </w:tblPrEx>
        <w:trPr>
          <w:trHeight w:val="660" w:hRule="atLeast"/>
        </w:trPr>
        <w:tc>
          <w:tcPr>
            <w:tcW w:w="54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44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96" w:type="pct"/>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167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240" w:firstLineChars="10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其中：生均财政专项补贴</w:t>
            </w:r>
          </w:p>
        </w:tc>
        <w:tc>
          <w:tcPr>
            <w:tcW w:w="315"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元</w:t>
            </w:r>
          </w:p>
        </w:tc>
        <w:tc>
          <w:tcPr>
            <w:tcW w:w="89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0.00</w:t>
            </w:r>
          </w:p>
        </w:tc>
        <w:tc>
          <w:tcPr>
            <w:tcW w:w="728"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0.00</w:t>
            </w:r>
          </w:p>
        </w:tc>
      </w:tr>
      <w:tr>
        <w:tblPrEx>
          <w:tblCellMar>
            <w:top w:w="0" w:type="dxa"/>
            <w:left w:w="108" w:type="dxa"/>
            <w:bottom w:w="0" w:type="dxa"/>
            <w:right w:w="108" w:type="dxa"/>
          </w:tblCellMar>
        </w:tblPrEx>
        <w:trPr>
          <w:trHeight w:val="660" w:hRule="atLeast"/>
        </w:trPr>
        <w:tc>
          <w:tcPr>
            <w:tcW w:w="54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44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96" w:type="pct"/>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6</w:t>
            </w:r>
          </w:p>
        </w:tc>
        <w:tc>
          <w:tcPr>
            <w:tcW w:w="167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企业兼职教师年课时总量</w:t>
            </w:r>
          </w:p>
        </w:tc>
        <w:tc>
          <w:tcPr>
            <w:tcW w:w="315"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课时</w:t>
            </w:r>
          </w:p>
        </w:tc>
        <w:tc>
          <w:tcPr>
            <w:tcW w:w="89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31420.00</w:t>
            </w:r>
          </w:p>
        </w:tc>
        <w:tc>
          <w:tcPr>
            <w:tcW w:w="728"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36945.00</w:t>
            </w:r>
          </w:p>
        </w:tc>
      </w:tr>
      <w:tr>
        <w:tblPrEx>
          <w:tblCellMar>
            <w:top w:w="0" w:type="dxa"/>
            <w:left w:w="108" w:type="dxa"/>
            <w:bottom w:w="0" w:type="dxa"/>
            <w:right w:w="108" w:type="dxa"/>
          </w:tblCellMar>
        </w:tblPrEx>
        <w:trPr>
          <w:trHeight w:val="480" w:hRule="atLeast"/>
        </w:trPr>
        <w:tc>
          <w:tcPr>
            <w:tcW w:w="54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44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96" w:type="pct"/>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167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年支付企业兼职教师课酬</w:t>
            </w:r>
          </w:p>
        </w:tc>
        <w:tc>
          <w:tcPr>
            <w:tcW w:w="315"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元</w:t>
            </w:r>
          </w:p>
        </w:tc>
        <w:tc>
          <w:tcPr>
            <w:tcW w:w="89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1062469.39</w:t>
            </w:r>
          </w:p>
        </w:tc>
        <w:tc>
          <w:tcPr>
            <w:tcW w:w="728"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1209400</w:t>
            </w:r>
          </w:p>
        </w:tc>
      </w:tr>
      <w:tr>
        <w:tblPrEx>
          <w:tblCellMar>
            <w:top w:w="0" w:type="dxa"/>
            <w:left w:w="108" w:type="dxa"/>
            <w:bottom w:w="0" w:type="dxa"/>
            <w:right w:w="108" w:type="dxa"/>
          </w:tblCellMar>
        </w:tblPrEx>
        <w:trPr>
          <w:trHeight w:val="702" w:hRule="atLeast"/>
        </w:trPr>
        <w:tc>
          <w:tcPr>
            <w:tcW w:w="54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44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396" w:type="pct"/>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000000"/>
                <w:kern w:val="0"/>
                <w:sz w:val="24"/>
                <w:szCs w:val="24"/>
              </w:rPr>
            </w:pPr>
          </w:p>
        </w:tc>
        <w:tc>
          <w:tcPr>
            <w:tcW w:w="1672"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240" w:firstLineChars="10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其中：财政专项补贴</w:t>
            </w:r>
          </w:p>
        </w:tc>
        <w:tc>
          <w:tcPr>
            <w:tcW w:w="315"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元</w:t>
            </w:r>
          </w:p>
        </w:tc>
        <w:tc>
          <w:tcPr>
            <w:tcW w:w="894"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0.00</w:t>
            </w:r>
          </w:p>
        </w:tc>
        <w:tc>
          <w:tcPr>
            <w:tcW w:w="728" w:type="pct"/>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0.00</w:t>
            </w:r>
          </w:p>
        </w:tc>
      </w:tr>
    </w:tbl>
    <w:p>
      <w:pPr>
        <w:ind w:left="0" w:leftChars="0" w:firstLine="0" w:firstLineChars="0"/>
      </w:pPr>
    </w:p>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1E867F-A572-476C-AC98-D546F86368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00D952A-FB9E-4181-9D9C-462FB30C254F}"/>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F00E9BE2-40B8-4D0E-8DF0-09C56D43E3D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4" w:fontKey="{13F6779D-1187-4068-A051-B370C55F4FE4}"/>
  </w:font>
  <w:font w:name="方正小标宋简体">
    <w:altName w:val="方正舒体"/>
    <w:panose1 w:val="03000509000000000000"/>
    <w:charset w:val="86"/>
    <w:family w:val="auto"/>
    <w:pitch w:val="default"/>
    <w:sig w:usb0="00000000" w:usb1="00000000" w:usb2="00000000" w:usb3="00000000" w:csb0="00040000" w:csb1="00000000"/>
    <w:embedRegular r:id="rId5" w:fontKey="{A1D10415-D241-46DE-94B3-83B88AB49C21}"/>
  </w:font>
  <w:font w:name="方正舒体">
    <w:panose1 w:val="02010601030101010101"/>
    <w:charset w:val="86"/>
    <w:family w:val="auto"/>
    <w:pitch w:val="default"/>
    <w:sig w:usb0="00000003"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6" w:fontKey="{E7032CCA-1B37-4F40-8770-D5FF113BDF22}"/>
  </w:font>
  <w:font w:name="隶书">
    <w:panose1 w:val="02010509060101010101"/>
    <w:charset w:val="86"/>
    <w:family w:val="modern"/>
    <w:pitch w:val="default"/>
    <w:sig w:usb0="00000001" w:usb1="080E0000" w:usb2="00000000" w:usb3="00000000" w:csb0="00040000" w:csb1="00000000"/>
    <w:embedRegular r:id="rId7" w:fontKey="{0C0B2819-B513-459B-830A-35A4E2D30D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2554605</wp:posOffset>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1.15pt;margin-top:1pt;height:144pt;width:144pt;mso-position-horizontal-relative:margin;mso-wrap-style:none;z-index:251659264;mso-width-relative:page;mso-height-relative:page;" filled="f" stroked="f" coordsize="21600,21600" o:gfxdata="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C8mcNQAAAAJAQAADwAAAAAAAAABACAAAAAiAAAAZHJzL2Rvd25yZXYu&#10;eG1sUEsBAhQAFAAAAAgAh07iQF4aj184AgAAbwQAAA4AAAAAAAAAAQAgAAAAIwEAAGRycy9lMm9E&#10;b2MueG1sUEsFBgAAAAAGAAYAWQEAAM0FA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sz w:val="18"/>
                      </w:rPr>
                      <w:t>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hint="eastAsia" w:ascii="隶书" w:hAnsi="隶书" w:eastAsia="隶书" w:cs="隶书"/>
        <w:sz w:val="21"/>
        <w:szCs w:val="21"/>
        <w:lang w:val="en-US" w:eastAsia="zh-CN"/>
      </w:rPr>
    </w:pPr>
    <w:r>
      <w:rPr>
        <w:rFonts w:hint="eastAsia" w:eastAsia="仿宋_GB2312"/>
        <w:lang w:eastAsia="zh-CN"/>
      </w:rPr>
      <w:drawing>
        <wp:inline distT="0" distB="0" distL="114300" distR="114300">
          <wp:extent cx="1699895" cy="228600"/>
          <wp:effectExtent l="0" t="0" r="14605"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
                  <a:stretch>
                    <a:fillRect/>
                  </a:stretch>
                </pic:blipFill>
                <pic:spPr>
                  <a:xfrm>
                    <a:off x="0" y="0"/>
                    <a:ext cx="1699895" cy="228600"/>
                  </a:xfrm>
                  <a:prstGeom prst="rect">
                    <a:avLst/>
                  </a:prstGeom>
                  <a:noFill/>
                  <a:ln w="9525">
                    <a:noFill/>
                  </a:ln>
                </pic:spPr>
              </pic:pic>
            </a:graphicData>
          </a:graphic>
        </wp:inline>
      </w:drawing>
    </w:r>
    <w:r>
      <w:rPr>
        <w:rFonts w:hint="eastAsia"/>
        <w:lang w:val="en-US" w:eastAsia="zh-CN"/>
      </w:rPr>
      <w:t xml:space="preserve">                                  </w:t>
    </w:r>
    <w:r>
      <w:rPr>
        <w:rFonts w:hint="eastAsia" w:ascii="隶书" w:hAnsi="隶书" w:eastAsia="隶书" w:cs="隶书"/>
        <w:sz w:val="21"/>
        <w:szCs w:val="21"/>
        <w:lang w:val="en-US" w:eastAsia="zh-CN"/>
      </w:rPr>
      <w:t>职业教育质量年度报告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548A1"/>
    <w:rsid w:val="0A042CE3"/>
    <w:rsid w:val="10905835"/>
    <w:rsid w:val="169822BB"/>
    <w:rsid w:val="172A4DE7"/>
    <w:rsid w:val="20451D11"/>
    <w:rsid w:val="248548A1"/>
    <w:rsid w:val="29AC3D81"/>
    <w:rsid w:val="32036508"/>
    <w:rsid w:val="3A0B68A2"/>
    <w:rsid w:val="3DB32A2C"/>
    <w:rsid w:val="40550877"/>
    <w:rsid w:val="4A3D4856"/>
    <w:rsid w:val="4B4E2A92"/>
    <w:rsid w:val="5058055A"/>
    <w:rsid w:val="52171E30"/>
    <w:rsid w:val="5B2F1F99"/>
    <w:rsid w:val="5F034AA9"/>
    <w:rsid w:val="5FED5605"/>
    <w:rsid w:val="615A3AE7"/>
    <w:rsid w:val="69744598"/>
    <w:rsid w:val="6DFA3470"/>
    <w:rsid w:val="6F255735"/>
    <w:rsid w:val="719E17CE"/>
    <w:rsid w:val="76CA6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880" w:firstLineChars="200"/>
      <w:jc w:val="both"/>
    </w:pPr>
    <w:rPr>
      <w:rFonts w:ascii="Times New Roman" w:hAnsi="Times New Roman" w:eastAsia="仿宋_GB2312" w:cs="Times New Roman"/>
      <w:kern w:val="2"/>
      <w:sz w:val="30"/>
      <w:szCs w:val="24"/>
      <w:lang w:val="en-US" w:eastAsia="zh-CN" w:bidi="ar-SA"/>
    </w:rPr>
  </w:style>
  <w:style w:type="paragraph" w:styleId="3">
    <w:name w:val="heading 1"/>
    <w:next w:val="1"/>
    <w:qFormat/>
    <w:uiPriority w:val="0"/>
    <w:pPr>
      <w:keepNext/>
      <w:keepLines/>
      <w:widowControl w:val="0"/>
      <w:spacing w:before="10" w:beforeLines="0" w:after="10" w:afterLines="0" w:line="500" w:lineRule="exact"/>
      <w:ind w:leftChars="0" w:firstLine="880" w:firstLineChars="200"/>
      <w:jc w:val="both"/>
      <w:outlineLvl w:val="0"/>
    </w:pPr>
    <w:rPr>
      <w:rFonts w:ascii="Times New Roman" w:hAnsi="Times New Roman" w:eastAsia="黑体" w:cs="Times New Roman"/>
      <w:b/>
      <w:bCs/>
      <w:kern w:val="44"/>
      <w:sz w:val="30"/>
      <w:szCs w:val="44"/>
      <w:lang w:val="en-US" w:eastAsia="zh-CN" w:bidi="ar-SA"/>
    </w:rPr>
  </w:style>
  <w:style w:type="paragraph" w:styleId="4">
    <w:name w:val="heading 2"/>
    <w:next w:val="1"/>
    <w:qFormat/>
    <w:uiPriority w:val="0"/>
    <w:pPr>
      <w:keepNext/>
      <w:keepLines/>
      <w:widowControl w:val="0"/>
      <w:spacing w:before="10" w:beforeLines="0" w:after="10" w:afterLines="0" w:line="416" w:lineRule="auto"/>
      <w:ind w:leftChars="0" w:firstLine="880" w:firstLineChars="200"/>
      <w:jc w:val="both"/>
      <w:outlineLvl w:val="1"/>
    </w:pPr>
    <w:rPr>
      <w:rFonts w:ascii="Arial" w:hAnsi="Arial" w:eastAsia="楷体_GB2312" w:cs="Times New Roman"/>
      <w:b/>
      <w:bCs/>
      <w:kern w:val="2"/>
      <w:sz w:val="32"/>
      <w:szCs w:val="32"/>
      <w:lang w:val="en-US" w:eastAsia="zh-CN" w:bidi="ar-SA"/>
    </w:rPr>
  </w:style>
  <w:style w:type="paragraph" w:styleId="5">
    <w:name w:val="heading 3"/>
    <w:next w:val="1"/>
    <w:link w:val="19"/>
    <w:unhideWhenUsed/>
    <w:qFormat/>
    <w:uiPriority w:val="0"/>
    <w:pPr>
      <w:keepNext/>
      <w:keepLines/>
      <w:widowControl w:val="0"/>
      <w:spacing w:before="260" w:beforeLines="0" w:beforeAutospacing="0" w:after="260" w:afterLines="0" w:afterAutospacing="0" w:line="413" w:lineRule="auto"/>
      <w:ind w:firstLine="880" w:firstLineChars="200"/>
      <w:jc w:val="both"/>
      <w:outlineLvl w:val="2"/>
    </w:pPr>
    <w:rPr>
      <w:rFonts w:ascii="Times New Roman" w:hAnsi="Times New Roman" w:eastAsia="仿宋_GB2312" w:cs="Times New Roman"/>
      <w:b/>
      <w:kern w:val="2"/>
      <w:sz w:val="32"/>
      <w:szCs w:val="24"/>
      <w:lang w:val="en-US" w:eastAsia="zh-CN" w:bidi="ar-SA"/>
    </w:rPr>
  </w:style>
  <w:style w:type="paragraph" w:styleId="2">
    <w:name w:val="heading 4"/>
    <w:next w:val="1"/>
    <w:qFormat/>
    <w:uiPriority w:val="9"/>
    <w:pPr>
      <w:keepNext/>
      <w:keepLines/>
      <w:widowControl w:val="0"/>
      <w:spacing w:before="280" w:after="290" w:line="376" w:lineRule="auto"/>
      <w:ind w:firstLine="880" w:firstLineChars="200"/>
      <w:jc w:val="both"/>
      <w:outlineLvl w:val="3"/>
    </w:pPr>
    <w:rPr>
      <w:rFonts w:ascii="Cambria" w:hAnsi="Cambria" w:eastAsia="仿宋_GB2312" w:cs="Times New Roman"/>
      <w:b/>
      <w:bCs/>
      <w:kern w:val="2"/>
      <w:sz w:val="28"/>
      <w:szCs w:val="28"/>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toc 3"/>
    <w:next w:val="1"/>
    <w:qFormat/>
    <w:uiPriority w:val="0"/>
    <w:pPr>
      <w:widowControl w:val="0"/>
      <w:spacing w:line="500" w:lineRule="exact"/>
      <w:ind w:left="840" w:leftChars="400" w:firstLine="880" w:firstLineChars="200"/>
      <w:jc w:val="both"/>
    </w:pPr>
    <w:rPr>
      <w:rFonts w:ascii="Times New Roman" w:hAnsi="Times New Roman" w:eastAsia="仿宋_GB2312" w:cs="Times New Roman"/>
      <w:kern w:val="2"/>
      <w:sz w:val="30"/>
      <w:szCs w:val="24"/>
      <w:lang w:val="en-US" w:eastAsia="zh-CN" w:bidi="ar-SA"/>
    </w:rPr>
  </w:style>
  <w:style w:type="paragraph" w:styleId="7">
    <w:name w:val="footer"/>
    <w:qFormat/>
    <w:uiPriority w:val="0"/>
    <w:pPr>
      <w:widowControl w:val="0"/>
      <w:tabs>
        <w:tab w:val="center" w:pos="4153"/>
        <w:tab w:val="right" w:pos="8306"/>
      </w:tabs>
      <w:snapToGrid w:val="0"/>
      <w:spacing w:line="500" w:lineRule="exact"/>
      <w:ind w:firstLine="880" w:firstLineChars="200"/>
      <w:jc w:val="left"/>
    </w:pPr>
    <w:rPr>
      <w:rFonts w:ascii="Times New Roman" w:hAnsi="Times New Roman" w:eastAsia="宋体" w:cs="Times New Roman"/>
      <w:kern w:val="2"/>
      <w:sz w:val="18"/>
      <w:szCs w:val="24"/>
      <w:lang w:val="en-US" w:eastAsia="zh-CN" w:bidi="ar-SA"/>
    </w:rPr>
  </w:style>
  <w:style w:type="paragraph" w:styleId="8">
    <w:name w:val="header"/>
    <w:qFormat/>
    <w:uiPriority w:val="0"/>
    <w:pPr>
      <w:widowControl w:val="0"/>
      <w:pBdr>
        <w:bottom w:val="single" w:color="auto" w:sz="6" w:space="1"/>
      </w:pBdr>
      <w:tabs>
        <w:tab w:val="center" w:pos="4153"/>
        <w:tab w:val="right" w:pos="8306"/>
      </w:tabs>
      <w:snapToGrid w:val="0"/>
      <w:spacing w:line="500" w:lineRule="exact"/>
      <w:ind w:firstLine="880" w:firstLineChars="200"/>
      <w:jc w:val="center"/>
    </w:pPr>
    <w:rPr>
      <w:rFonts w:ascii="Times New Roman" w:hAnsi="Times New Roman" w:eastAsia="仿宋_GB2312" w:cs="Times New Roman"/>
      <w:kern w:val="2"/>
      <w:sz w:val="18"/>
      <w:szCs w:val="18"/>
      <w:lang w:val="en-US" w:eastAsia="zh-CN" w:bidi="ar-SA"/>
    </w:rPr>
  </w:style>
  <w:style w:type="paragraph" w:styleId="9">
    <w:name w:val="toc 1"/>
    <w:next w:val="1"/>
    <w:qFormat/>
    <w:uiPriority w:val="0"/>
    <w:pPr>
      <w:widowControl w:val="0"/>
      <w:spacing w:line="500" w:lineRule="exact"/>
      <w:ind w:firstLine="880" w:firstLineChars="200"/>
      <w:jc w:val="both"/>
    </w:pPr>
    <w:rPr>
      <w:rFonts w:ascii="Times New Roman" w:hAnsi="Times New Roman" w:eastAsia="仿宋_GB2312" w:cs="Times New Roman"/>
      <w:kern w:val="2"/>
      <w:sz w:val="30"/>
      <w:szCs w:val="24"/>
      <w:lang w:val="en-US" w:eastAsia="zh-CN" w:bidi="ar-SA"/>
    </w:rPr>
  </w:style>
  <w:style w:type="paragraph" w:styleId="10">
    <w:name w:val="toc 2"/>
    <w:next w:val="1"/>
    <w:qFormat/>
    <w:uiPriority w:val="0"/>
    <w:pPr>
      <w:widowControl w:val="0"/>
      <w:spacing w:line="500" w:lineRule="exact"/>
      <w:ind w:left="420" w:leftChars="200" w:firstLine="880" w:firstLineChars="200"/>
      <w:jc w:val="both"/>
    </w:pPr>
    <w:rPr>
      <w:rFonts w:ascii="Times New Roman" w:hAnsi="Times New Roman" w:eastAsia="仿宋_GB2312" w:cs="Times New Roman"/>
      <w:kern w:val="2"/>
      <w:sz w:val="30"/>
      <w:szCs w:val="24"/>
      <w:lang w:val="en-US" w:eastAsia="zh-CN" w:bidi="ar-SA"/>
    </w:rPr>
  </w:style>
  <w:style w:type="paragraph" w:styleId="11">
    <w:name w:val="Normal (Web)"/>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lang w:val="en-US" w:eastAsia="zh-CN" w:bidi="ar-SA"/>
    </w:rPr>
  </w:style>
  <w:style w:type="table" w:styleId="13">
    <w:name w:val="Table Grid"/>
    <w:qFormat/>
    <w:uiPriority w:val="0"/>
    <w:rPr>
      <w:rFonts w:asciiTheme="minorHAnsi" w:hAnsiTheme="minorHAnsi" w:eastAsiaTheme="minorEastAsia"/>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paragraph" w:customStyle="1" w:styleId="16">
    <w:name w:val="_Style 2"/>
    <w:next w:val="1"/>
    <w:qFormat/>
    <w:uiPriority w:val="39"/>
    <w:pPr>
      <w:keepNext/>
      <w:keepLines/>
      <w:widowControl/>
      <w:spacing w:before="480" w:beforeLines="0" w:after="0" w:afterLines="0" w:line="276" w:lineRule="auto"/>
      <w:ind w:leftChars="0" w:firstLine="0" w:firstLineChars="0"/>
      <w:jc w:val="left"/>
      <w:outlineLvl w:val="9"/>
    </w:pPr>
    <w:rPr>
      <w:rFonts w:ascii="Cambria" w:hAnsi="Cambria" w:eastAsia="宋体" w:cs="Times New Roman"/>
      <w:b/>
      <w:bCs/>
      <w:color w:val="365F91"/>
      <w:kern w:val="0"/>
      <w:sz w:val="28"/>
      <w:szCs w:val="28"/>
      <w:lang w:val="en-US" w:eastAsia="zh-CN" w:bidi="ar-SA"/>
    </w:rPr>
  </w:style>
  <w:style w:type="paragraph" w:styleId="17">
    <w:name w:val="List Paragraph"/>
    <w:qFormat/>
    <w:uiPriority w:val="34"/>
    <w:pPr>
      <w:widowControl w:val="0"/>
      <w:spacing w:line="500" w:lineRule="exact"/>
      <w:ind w:firstLine="420" w:firstLineChars="200"/>
      <w:jc w:val="both"/>
    </w:pPr>
    <w:rPr>
      <w:rFonts w:ascii="Times New Roman" w:hAnsi="Times New Roman" w:eastAsia="仿宋_GB2312" w:cs="Times New Roman"/>
      <w:kern w:val="2"/>
      <w:sz w:val="30"/>
      <w:szCs w:val="24"/>
      <w:lang w:val="en-US" w:eastAsia="zh-CN" w:bidi="ar-SA"/>
    </w:rPr>
  </w:style>
  <w:style w:type="paragraph" w:customStyle="1" w:styleId="18">
    <w:name w:val="图1"/>
    <w:qFormat/>
    <w:uiPriority w:val="0"/>
    <w:pPr>
      <w:widowControl w:val="0"/>
      <w:spacing w:beforeLines="50" w:afterLines="50" w:line="500" w:lineRule="exact"/>
      <w:ind w:firstLine="880" w:firstLineChars="200"/>
      <w:jc w:val="center"/>
    </w:pPr>
    <w:rPr>
      <w:rFonts w:ascii="Calibri" w:hAnsi="Calibri" w:eastAsia="仿宋" w:cs="Calibri"/>
      <w:kern w:val="2"/>
      <w:sz w:val="30"/>
      <w:szCs w:val="21"/>
      <w:lang w:val="en-US" w:eastAsia="zh-CN" w:bidi="ar-SA"/>
    </w:rPr>
  </w:style>
  <w:style w:type="character" w:customStyle="1" w:styleId="19">
    <w:name w:val="标题 3 Char"/>
    <w:link w:val="5"/>
    <w:qFormat/>
    <w:uiPriority w:val="9"/>
    <w:rPr>
      <w:rFonts w:ascii="Times New Roman" w:hAnsi="Times New Roman" w:eastAsia="仿宋_GB2312"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2021-12-03T08:17:00Z</dcterms:created>
  <dc:creator>韦柳霞</dc:creator>
  <cp:lastModifiedBy>韦柳霞</cp:lastModifiedBy>
  <dcterms:modified xsi:type="dcterms:W3CDTF">2021-12-15T10:40:28Z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084C16662D1E48C084C2B2668893E0A0</vt:lpwstr>
  </property>
</Properties>
</file>